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1"/>
        <w:jc w:val="right"/>
        <w:spacing w:line="360" w:lineRule="auto"/>
        <w:rPr>
          <w:rFonts w:ascii="宋体" w:hAnsi="宋体"/>
          <w:sz w:val="36"/>
        </w:rPr>
      </w:pPr>
      <w:r>
        <w:rPr>
          <w:rFonts w:ascii="宋体" w:hAnsi="宋体"/>
          <w:sz w:val="36"/>
        </w:rPr>
      </w:r>
      <w:r/>
    </w:p>
    <w:p>
      <w:pPr>
        <w:pStyle w:val="741"/>
        <w:jc w:val="right"/>
        <w:spacing w:line="360" w:lineRule="auto"/>
        <w:rPr>
          <w:rFonts w:ascii="宋体" w:hAnsi="宋体" w:eastAsia="宋体"/>
          <w:sz w:val="36"/>
          <w:lang w:val="en-US" w:eastAsia="zh-CN"/>
        </w:rPr>
      </w:pPr>
      <w:r>
        <w:rPr>
          <w:rFonts w:hint="eastAsia" w:ascii="宋体" w:hAnsi="宋体"/>
          <w:sz w:val="36"/>
        </w:rPr>
        <w:t xml:space="preserve">编号：JSZC-321000-HCZX-G2025-00</w:t>
      </w:r>
      <w:r>
        <w:rPr>
          <w:rFonts w:hint="eastAsia" w:ascii="宋体" w:hAnsi="宋体"/>
          <w:sz w:val="36"/>
          <w:lang w:val="en-US" w:eastAsia="zh-CN"/>
        </w:rPr>
        <w:t xml:space="preserve">91</w:t>
      </w:r>
      <w:r>
        <w:rPr>
          <w:rFonts w:ascii="宋体" w:hAnsi="宋体" w:eastAsia="宋体"/>
          <w:sz w:val="36"/>
          <w:lang w:val="en-US" w:eastAsia="zh-CN"/>
        </w:rPr>
      </w:r>
      <w:r/>
    </w:p>
    <w:p>
      <w:pPr>
        <w:pStyle w:val="741"/>
        <w:spacing w:line="360" w:lineRule="auto"/>
        <w:rPr>
          <w:rFonts w:ascii="宋体" w:hAnsi="宋体"/>
          <w:sz w:val="36"/>
        </w:rPr>
      </w:pPr>
      <w:r>
        <w:rPr>
          <w:rFonts w:ascii="宋体" w:hAnsi="宋体"/>
          <w:sz w:val="36"/>
        </w:rPr>
      </w:r>
      <w:r/>
    </w:p>
    <w:p>
      <w:pPr>
        <w:pStyle w:val="741"/>
        <w:jc w:val="center"/>
        <w:spacing w:line="360" w:lineRule="auto"/>
        <w:rPr>
          <w:rFonts w:ascii="宋体" w:hAnsi="宋体"/>
          <w:sz w:val="36"/>
        </w:rPr>
      </w:pPr>
      <w:r>
        <w:rPr>
          <w:rFonts w:hint="eastAsia" w:ascii="宋体" w:hAnsi="宋体"/>
          <w:sz w:val="36"/>
        </w:rPr>
        <w:t xml:space="preserve">扬州市公安局公安交通管理综合应用平台社会化服务系统升级改造项目公开招标文件</w:t>
      </w:r>
      <w:r>
        <w:rPr>
          <w:rFonts w:ascii="宋体" w:hAnsi="宋体"/>
          <w:sz w:val="36"/>
        </w:rPr>
      </w:r>
      <w:r/>
    </w:p>
    <w:p>
      <w:pPr>
        <w:pStyle w:val="741"/>
        <w:jc w:val="center"/>
        <w:spacing w:line="360" w:lineRule="auto"/>
        <w:rPr>
          <w:rFonts w:ascii="宋体" w:hAnsi="宋体"/>
          <w:sz w:val="36"/>
        </w:rPr>
      </w:pPr>
      <w:r>
        <w:rPr>
          <w:rFonts w:ascii="宋体" w:hAnsi="宋体"/>
          <w:sz w:val="36"/>
        </w:rPr>
      </w:r>
      <w:r/>
    </w:p>
    <w:p>
      <w:pPr>
        <w:pStyle w:val="741"/>
        <w:jc w:val="center"/>
        <w:spacing w:line="360" w:lineRule="auto"/>
        <w:rPr>
          <w:rFonts w:ascii="宋体" w:hAnsi="宋体"/>
          <w:sz w:val="36"/>
        </w:rPr>
      </w:pPr>
      <w:r>
        <w:rPr>
          <w:rFonts w:ascii="宋体" w:hAnsi="宋体" w:cs="宋体"/>
          <w:sz w:val="36"/>
        </w:rPr>
        <mc:AlternateContent>
          <mc:Choice Requires="wpg">
            <w:drawing>
              <wp:inline xmlns:wp="http://schemas.openxmlformats.org/drawingml/2006/wordprocessingDrawing" distT="0" distB="0" distL="0" distR="0">
                <wp:extent cx="5571744" cy="381777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571744" cy="38177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8.7pt;height:300.6pt;mso-wrap-distance-left:0.0pt;mso-wrap-distance-top:0.0pt;mso-wrap-distance-right:0.0pt;mso-wrap-distance-bottom:0.0pt;" stroked="f">
                <v:path textboxrect="0,0,0,0"/>
                <v:imagedata r:id="rId12" o:title=""/>
              </v:shape>
            </w:pict>
          </mc:Fallback>
        </mc:AlternateContent>
      </w:r>
      <w:r>
        <w:rPr>
          <w:rFonts w:ascii="宋体" w:hAnsi="宋体"/>
          <w:sz w:val="36"/>
        </w:rPr>
      </w:r>
      <w:r/>
    </w:p>
    <w:p>
      <w:pPr>
        <w:pStyle w:val="744"/>
        <w:spacing w:line="360" w:lineRule="auto"/>
      </w:pPr>
      <w:r/>
      <w:r/>
    </w:p>
    <w:p>
      <w:pPr>
        <w:pStyle w:val="741"/>
      </w:pPr>
      <w:r/>
      <w:r/>
    </w:p>
    <w:p>
      <w:pPr>
        <w:pStyle w:val="766"/>
      </w:pPr>
      <w:r/>
      <w:r/>
    </w:p>
    <w:p>
      <w:pPr>
        <w:pStyle w:val="741"/>
        <w:jc w:val="center"/>
        <w:spacing w:line="360" w:lineRule="auto"/>
        <w:rPr>
          <w:rFonts w:ascii="宋体" w:hAnsi="宋体"/>
          <w:sz w:val="36"/>
        </w:rPr>
      </w:pPr>
      <w:r>
        <w:rPr>
          <w:rFonts w:hint="eastAsia" w:ascii="宋体" w:hAnsi="宋体"/>
          <w:sz w:val="36"/>
        </w:rPr>
        <w:t xml:space="preserve">江苏汇诚投资咨询管理有限公司</w:t>
      </w:r>
      <w:r>
        <w:rPr>
          <w:rFonts w:ascii="宋体" w:hAnsi="宋体"/>
          <w:sz w:val="36"/>
        </w:rPr>
      </w:r>
      <w:r/>
    </w:p>
    <w:p>
      <w:pPr>
        <w:pStyle w:val="741"/>
        <w:jc w:val="center"/>
        <w:spacing w:line="360" w:lineRule="auto"/>
        <w:rPr>
          <w:rFonts w:ascii="宋体" w:hAnsi="宋体"/>
          <w:sz w:val="36"/>
        </w:rPr>
      </w:pPr>
      <w:r>
        <w:rPr>
          <w:rFonts w:hint="eastAsia" w:ascii="宋体" w:hAnsi="宋体"/>
          <w:sz w:val="36"/>
        </w:rPr>
        <w:t xml:space="preserve">2025年</w:t>
      </w:r>
      <w:r>
        <w:rPr>
          <w:rFonts w:hint="eastAsia" w:ascii="宋体" w:hAnsi="宋体"/>
          <w:sz w:val="36"/>
          <w:lang w:val="en-US" w:eastAsia="zh-CN"/>
        </w:rPr>
        <w:t xml:space="preserve">12</w:t>
      </w:r>
      <w:r>
        <w:rPr>
          <w:rFonts w:hint="eastAsia" w:ascii="宋体" w:hAnsi="宋体"/>
          <w:sz w:val="36"/>
        </w:rPr>
        <w:t xml:space="preserve">月</w:t>
      </w:r>
      <w:r>
        <w:rPr>
          <w:rFonts w:hint="eastAsia" w:ascii="宋体" w:hAnsi="宋体"/>
          <w:sz w:val="36"/>
          <w:lang w:val="en-US" w:eastAsia="zh-CN"/>
        </w:rPr>
        <w:t xml:space="preserve">4</w:t>
      </w:r>
      <w:r>
        <w:rPr>
          <w:rFonts w:hint="eastAsia" w:ascii="宋体" w:hAnsi="宋体"/>
          <w:sz w:val="36"/>
        </w:rPr>
        <w:t xml:space="preserve">日</w:t>
      </w:r>
      <w:r>
        <w:rPr>
          <w:rFonts w:ascii="宋体" w:hAnsi="宋体"/>
          <w:sz w:val="36"/>
        </w:rPr>
      </w:r>
      <w:r/>
    </w:p>
    <w:p>
      <w:pPr>
        <w:pStyle w:val="741"/>
        <w:spacing w:line="360" w:lineRule="auto"/>
      </w:pPr>
      <w:r>
        <w:br w:type="page" w:clear="all"/>
      </w:r>
      <w:r/>
    </w:p>
    <w:p>
      <w:pPr>
        <w:pStyle w:val="741"/>
        <w:jc w:val="center"/>
        <w:spacing w:line="360" w:lineRule="auto"/>
        <w:rPr>
          <w:rFonts w:ascii="宋体" w:hAnsi="宋体"/>
          <w:sz w:val="32"/>
        </w:rPr>
      </w:pPr>
      <w:r>
        <w:rPr>
          <w:rFonts w:hint="eastAsia" w:ascii="宋体" w:hAnsi="宋体"/>
          <w:sz w:val="32"/>
        </w:rPr>
        <w:t xml:space="preserve">目 录</w:t>
      </w:r>
      <w:r>
        <w:rPr>
          <w:rFonts w:ascii="宋体" w:hAnsi="宋体"/>
          <w:sz w:val="32"/>
        </w:rPr>
      </w:r>
      <w:r/>
    </w:p>
    <w:p>
      <w:pPr>
        <w:pStyle w:val="778"/>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扬州市公安局公安交通管理综合应用平台社会化服务系统升级改造项目招标公告</w:t>
      </w:r>
      <w:r>
        <w:tab/>
      </w:r>
      <w:r>
        <w:fldChar w:fldCharType="begin"/>
      </w:r>
      <w:r>
        <w:instrText xml:space="preserve"> PAGEREF _Toc191970189 \h </w:instrText>
      </w:r>
      <w:r>
        <w:fldChar w:fldCharType="separate"/>
      </w:r>
      <w:r>
        <w:t xml:space="preserve">3</w:t>
      </w:r>
      <w:r>
        <w:fldChar w:fldCharType="end"/>
      </w:r>
      <w:r/>
    </w:p>
    <w:p>
      <w:pPr>
        <w:pStyle w:val="778"/>
        <w:tabs>
          <w:tab w:val="right" w:pos="8296" w:leader="dot"/>
        </w:tabs>
      </w:pPr>
      <w:r>
        <w:rPr>
          <w:rFonts w:hint="eastAsia" w:ascii="宋体" w:hAnsi="宋体"/>
        </w:rPr>
        <w:t xml:space="preserve">第二章</w:t>
      </w:r>
      <w:r>
        <w:rPr>
          <w:rFonts w:ascii="宋体" w:hAnsi="宋体"/>
        </w:rPr>
        <w:t xml:space="preserve"> </w:t>
      </w:r>
      <w:r>
        <w:rPr>
          <w:rFonts w:hint="eastAsia" w:ascii="宋体" w:hAnsi="宋体"/>
        </w:rPr>
        <w:t xml:space="preserve">投标人须知</w:t>
      </w:r>
      <w:r>
        <w:tab/>
      </w:r>
      <w:r>
        <w:fldChar w:fldCharType="begin"/>
      </w:r>
      <w:r>
        <w:instrText xml:space="preserve"> PAGEREF _Toc191970190 \h </w:instrText>
      </w:r>
      <w:r>
        <w:fldChar w:fldCharType="separate"/>
      </w:r>
      <w:r>
        <w:t xml:space="preserve">7</w:t>
      </w:r>
      <w:r>
        <w:fldChar w:fldCharType="end"/>
      </w:r>
      <w:r/>
    </w:p>
    <w:p>
      <w:pPr>
        <w:pStyle w:val="778"/>
        <w:tabs>
          <w:tab w:val="right" w:pos="8296" w:leader="dot"/>
        </w:tabs>
      </w:pPr>
      <w:r>
        <w:rPr>
          <w:rFonts w:hint="eastAsia" w:ascii="宋体" w:hAnsi="宋体"/>
        </w:rPr>
        <w:t xml:space="preserve">第三章</w:t>
      </w:r>
      <w:r>
        <w:rPr>
          <w:rFonts w:ascii="宋体" w:hAnsi="宋体"/>
        </w:rPr>
        <w:t xml:space="preserve"> </w:t>
      </w:r>
      <w:r>
        <w:rPr>
          <w:rFonts w:hint="eastAsia" w:ascii="宋体" w:hAnsi="宋体"/>
        </w:rPr>
        <w:t xml:space="preserve">合同条款及格式</w:t>
      </w:r>
      <w:r>
        <w:tab/>
      </w:r>
      <w:r>
        <w:fldChar w:fldCharType="begin"/>
      </w:r>
      <w:r>
        <w:instrText xml:space="preserve"> PAGEREF _Toc191970191 \h </w:instrText>
      </w:r>
      <w:r>
        <w:fldChar w:fldCharType="separate"/>
      </w:r>
      <w:r>
        <w:t xml:space="preserve">1</w:t>
      </w:r>
      <w:r>
        <w:rPr>
          <w:rFonts w:hint="eastAsia"/>
        </w:rPr>
        <w:t xml:space="preserve">8</w:t>
      </w:r>
      <w:r>
        <w:fldChar w:fldCharType="end"/>
      </w:r>
      <w:r/>
    </w:p>
    <w:p>
      <w:pPr>
        <w:pStyle w:val="778"/>
        <w:tabs>
          <w:tab w:val="right" w:pos="8296" w:leader="dot"/>
        </w:tabs>
      </w:pPr>
      <w:r>
        <w:rPr>
          <w:rFonts w:hint="eastAsia" w:ascii="宋体" w:hAnsi="宋体"/>
        </w:rPr>
        <w:t xml:space="preserve">第四章 项目需求</w:t>
      </w:r>
      <w:r>
        <w:tab/>
      </w:r>
      <w:r>
        <w:fldChar w:fldCharType="begin"/>
      </w:r>
      <w:r>
        <w:instrText xml:space="preserve"> PAGEREF _Toc191970192 \h </w:instrText>
      </w:r>
      <w:r>
        <w:fldChar w:fldCharType="separate"/>
      </w:r>
      <w:r>
        <w:t xml:space="preserve">2</w:t>
      </w:r>
      <w:r>
        <w:rPr>
          <w:rFonts w:hint="eastAsia"/>
        </w:rPr>
        <w:t xml:space="preserve">3</w:t>
      </w:r>
      <w:r>
        <w:fldChar w:fldCharType="end"/>
      </w:r>
      <w:r/>
    </w:p>
    <w:p>
      <w:pPr>
        <w:pStyle w:val="778"/>
        <w:tabs>
          <w:tab w:val="right" w:pos="8296" w:leader="dot"/>
        </w:tabs>
      </w:pPr>
      <w:r>
        <w:rPr>
          <w:rFonts w:hint="eastAsia" w:ascii="宋体" w:hAnsi="宋体"/>
        </w:rPr>
        <w:t xml:space="preserve">第五章</w:t>
      </w:r>
      <w:r>
        <w:rPr>
          <w:rFonts w:ascii="宋体" w:hAnsi="宋体"/>
        </w:rPr>
        <w:t xml:space="preserve"> </w:t>
      </w:r>
      <w:r>
        <w:rPr>
          <w:rFonts w:hint="eastAsia" w:ascii="宋体" w:hAnsi="宋体"/>
        </w:rPr>
        <w:t xml:space="preserve">评标方法及评标标准</w:t>
      </w:r>
      <w:r>
        <w:tab/>
      </w:r>
      <w:r>
        <w:rPr>
          <w:rFonts w:hint="eastAsia"/>
        </w:rPr>
        <w:t xml:space="preserve">34</w:t>
      </w:r>
      <w:r/>
    </w:p>
    <w:p>
      <w:pPr>
        <w:pStyle w:val="778"/>
        <w:tabs>
          <w:tab w:val="right" w:pos="8296" w:leader="dot"/>
        </w:tabs>
      </w:pPr>
      <w:r>
        <w:rPr>
          <w:rFonts w:hint="eastAsia" w:ascii="宋体" w:hAnsi="宋体"/>
        </w:rPr>
        <w:t xml:space="preserve">第六章</w:t>
      </w:r>
      <w:r>
        <w:rPr>
          <w:rFonts w:ascii="宋体" w:hAnsi="宋体"/>
        </w:rPr>
        <w:t xml:space="preserve"> </w:t>
      </w:r>
      <w:r>
        <w:rPr>
          <w:rFonts w:hint="eastAsia" w:ascii="宋体" w:hAnsi="宋体"/>
        </w:rPr>
        <w:t xml:space="preserve">投标文件格式</w:t>
      </w:r>
      <w:r>
        <w:tab/>
      </w:r>
      <w:r>
        <w:rPr>
          <w:rFonts w:hint="eastAsia"/>
        </w:rPr>
        <w:t xml:space="preserve">37</w:t>
      </w:r>
      <w:r/>
    </w:p>
    <w:p>
      <w:pPr>
        <w:pStyle w:val="741"/>
        <w:spacing w:line="360" w:lineRule="auto"/>
        <w:rPr>
          <w:rFonts w:ascii="宋体" w:hAnsi="宋体"/>
          <w:sz w:val="28"/>
        </w:rPr>
      </w:pPr>
      <w:r>
        <w:rPr>
          <w:rFonts w:hint="eastAsia" w:ascii="宋体" w:hAnsi="宋体"/>
          <w:sz w:val="28"/>
        </w:rPr>
        <w:fldChar w:fldCharType="end"/>
      </w:r>
      <w:r>
        <w:rPr>
          <w:rFonts w:ascii="宋体" w:hAnsi="宋体"/>
          <w:sz w:val="28"/>
        </w:rPr>
      </w:r>
      <w:r/>
    </w:p>
    <w:p>
      <w:pPr>
        <w:pStyle w:val="741"/>
        <w:spacing w:line="360" w:lineRule="auto"/>
      </w:pPr>
      <w:r>
        <w:rPr>
          <w:rFonts w:hint="eastAsia" w:ascii="宋体" w:hAnsi="宋体"/>
          <w:sz w:val="28"/>
        </w:rPr>
        <w:br w:type="page" w:clear="all"/>
      </w:r>
      <w:r/>
    </w:p>
    <w:p>
      <w:pPr>
        <w:pStyle w:val="742"/>
        <w:jc w:val="center"/>
        <w:spacing w:line="360" w:lineRule="auto"/>
        <w:rPr>
          <w:rFonts w:ascii="宋体" w:hAnsi="宋体"/>
          <w:szCs w:val="36"/>
        </w:rPr>
      </w:pPr>
      <w:r/>
      <w:bookmarkStart w:id="0" w:name="_Toc55204177"/>
      <w:r/>
      <w:bookmarkStart w:id="1" w:name="_Toc191970189"/>
      <w:r>
        <w:rPr>
          <w:rFonts w:hint="eastAsia" w:ascii="宋体" w:hAnsi="宋体"/>
          <w:szCs w:val="36"/>
        </w:rPr>
        <w:t xml:space="preserve">第一章 扬州市公安局公安交通管理综合应用平台社会化服务系统升级改造项目公开招标公告</w:t>
      </w:r>
      <w:bookmarkEnd w:id="0"/>
      <w:r/>
      <w:bookmarkEnd w:id="1"/>
      <w:r>
        <w:rPr>
          <w:rFonts w:ascii="宋体" w:hAnsi="宋体"/>
          <w:szCs w:val="36"/>
        </w:rPr>
      </w:r>
      <w:r/>
    </w:p>
    <w:p>
      <w:pPr>
        <w:pStyle w:val="741"/>
        <w:ind w:firstLine="420"/>
        <w:spacing w:line="360" w:lineRule="auto"/>
        <w:tabs>
          <w:tab w:val="left" w:pos="266" w:leader="none"/>
        </w:tabs>
        <w:rPr>
          <w:rFonts w:ascii="宋体" w:hAnsi="宋体" w:cs="宋体"/>
          <w:szCs w:val="21"/>
        </w:rPr>
      </w:pPr>
      <w:r>
        <w:rPr>
          <w:rFonts w:hint="eastAsia" w:ascii="宋体" w:hAnsi="宋体" w:cs="宋体"/>
        </w:rPr>
        <w:t xml:space="preserve">受扬州市公安局的委托，江苏汇诚投资咨询管理有限公司就扬州市公安局公安交通管理综合应用平台社会化服务系统升级改造项目进行公开招标采购，欢迎符合条件的供应商投标。</w:t>
      </w:r>
      <w:r>
        <w:rPr>
          <w:rFonts w:ascii="宋体" w:hAnsi="宋体" w:cs="宋体"/>
          <w:szCs w:val="21"/>
        </w:rPr>
      </w:r>
      <w:r/>
    </w:p>
    <w:p>
      <w:pPr>
        <w:pStyle w:val="741"/>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741"/>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扬州市公安局公安交通管理综合应用平台社会化服务系统升级改造  </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w:t>
      </w:r>
      <w:r>
        <w:rPr>
          <w:rFonts w:hint="eastAsia" w:ascii="宋体" w:hAnsi="宋体" w:cs="宋体"/>
        </w:rPr>
        <w:t xml:space="preserve">自行免费下载招标文件，并于</w:t>
      </w:r>
      <w:r>
        <w:rPr>
          <w:rFonts w:ascii="宋体" w:hAnsi="宋体" w:cs="宋体"/>
          <w:bCs/>
          <w:u w:val="single"/>
        </w:rPr>
        <w:t xml:space="preserve">202</w:t>
      </w:r>
      <w:r>
        <w:rPr>
          <w:rFonts w:hint="eastAsia" w:ascii="宋体" w:hAnsi="宋体" w:cs="宋体"/>
          <w:bCs/>
          <w:u w:val="single"/>
        </w:rPr>
        <w:t xml:space="preserve">5</w:t>
      </w:r>
      <w:r>
        <w:rPr>
          <w:rFonts w:ascii="宋体" w:hAnsi="宋体" w:cs="宋体"/>
          <w:bCs/>
          <w:u w:val="single"/>
        </w:rPr>
        <w:t xml:space="preserve">年</w:t>
      </w:r>
      <w:r>
        <w:rPr>
          <w:rFonts w:hint="eastAsia" w:ascii="宋体" w:hAnsi="宋体" w:cs="宋体"/>
          <w:bCs/>
          <w:u w:val="single"/>
          <w:lang w:val="en-US" w:eastAsia="zh-CN"/>
        </w:rPr>
        <w:t xml:space="preserve">12</w:t>
      </w:r>
      <w:r>
        <w:rPr>
          <w:rFonts w:hint="eastAsia" w:ascii="宋体" w:hAnsi="宋体" w:cs="宋体"/>
          <w:bCs/>
          <w:u w:val="single"/>
        </w:rPr>
        <w:t xml:space="preserve">月</w:t>
      </w:r>
      <w:r>
        <w:rPr>
          <w:rFonts w:hint="eastAsia" w:ascii="宋体" w:hAnsi="宋体" w:cs="宋体"/>
          <w:bCs/>
          <w:u w:val="single"/>
          <w:lang w:val="en-US" w:eastAsia="zh-CN"/>
        </w:rPr>
        <w:t xml:space="preserve">25</w:t>
      </w:r>
      <w:r>
        <w:rPr>
          <w:rFonts w:hint="eastAsia" w:ascii="宋体" w:hAnsi="宋体" w:cs="宋体"/>
          <w:bCs/>
          <w:u w:val="single"/>
        </w:rPr>
        <w:t xml:space="preserve">日9</w:t>
      </w:r>
      <w:r>
        <w:rPr>
          <w:rFonts w:ascii="宋体" w:hAnsi="宋体" w:cs="宋体"/>
          <w:bCs/>
          <w:u w:val="single"/>
        </w:rPr>
        <w:t xml:space="preserve">点30分</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rPr>
          <w:rFonts w:ascii="宋体" w:hAnsi="宋体" w:cs="宋体"/>
        </w:rPr>
      </w:r>
      <w:r/>
    </w:p>
    <w:p>
      <w:pPr>
        <w:pStyle w:val="741"/>
        <w:spacing w:line="360" w:lineRule="auto"/>
        <w:tabs>
          <w:tab w:val="left" w:pos="266" w:leader="none"/>
        </w:tabs>
        <w:rPr>
          <w:rFonts w:ascii="宋体" w:hAnsi="宋体" w:cs="宋体"/>
          <w:b/>
          <w:bCs/>
        </w:rPr>
      </w:pPr>
      <w:r/>
      <w:bookmarkStart w:id="2" w:name="_Toc35393621"/>
      <w:r/>
      <w:bookmarkStart w:id="3" w:name="_Toc38985263"/>
      <w:r/>
      <w:bookmarkStart w:id="4" w:name="_Toc28359002"/>
      <w:r/>
      <w:bookmarkStart w:id="5" w:name="_Toc28359079"/>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Pr>
          <w:rFonts w:ascii="宋体" w:hAnsi="宋体" w:cs="宋体"/>
          <w:b/>
          <w:bCs/>
        </w:rPr>
      </w:r>
      <w:r/>
    </w:p>
    <w:p>
      <w:pPr>
        <w:pStyle w:val="741"/>
        <w:ind w:firstLine="420"/>
        <w:spacing w:line="360" w:lineRule="auto"/>
        <w:rPr>
          <w:rFonts w:ascii="宋体" w:hAnsi="宋体" w:eastAsia="宋体" w:cs="宋体"/>
          <w:szCs w:val="21"/>
          <w:highlight w:val="none"/>
          <w:lang w:val="en-US" w:eastAsia="zh-CN"/>
        </w:rPr>
      </w:pPr>
      <w:r>
        <w:rPr>
          <w:rFonts w:hint="eastAsia" w:ascii="宋体" w:hAnsi="宋体" w:cs="宋体"/>
          <w:highlight w:val="none"/>
        </w:rPr>
        <w:t xml:space="preserve">1.项目编号：JSZC-321000-HCZX-G2025-00</w:t>
      </w:r>
      <w:r>
        <w:rPr>
          <w:rFonts w:hint="eastAsia" w:ascii="宋体" w:hAnsi="宋体" w:cs="宋体"/>
          <w:highlight w:val="none"/>
          <w:lang w:val="en-US" w:eastAsia="zh-CN"/>
        </w:rPr>
        <w:t xml:space="preserve">91</w:t>
      </w:r>
      <w:r>
        <w:rPr>
          <w:rFonts w:ascii="宋体" w:hAnsi="宋体" w:eastAsia="宋体" w:cs="宋体"/>
          <w:szCs w:val="21"/>
          <w:highlight w:val="none"/>
          <w:lang w:val="en-US" w:eastAsia="zh-CN"/>
        </w:rPr>
      </w:r>
      <w:r/>
    </w:p>
    <w:p>
      <w:pPr>
        <w:pStyle w:val="741"/>
        <w:ind w:firstLine="420"/>
        <w:spacing w:line="360" w:lineRule="auto"/>
        <w:rPr>
          <w:rFonts w:ascii="宋体" w:hAnsi="宋体" w:cs="宋体"/>
          <w:highlight w:val="none"/>
        </w:rPr>
      </w:pPr>
      <w:r>
        <w:rPr>
          <w:rFonts w:hint="eastAsia" w:ascii="宋体" w:hAnsi="宋体" w:cs="宋体"/>
          <w:highlight w:val="none"/>
        </w:rPr>
        <w:t xml:space="preserve">2.项目名称：</w:t>
      </w:r>
      <w:bookmarkEnd w:id="7"/>
      <w:r>
        <w:rPr>
          <w:rFonts w:hint="eastAsia" w:ascii="宋体" w:hAnsi="宋体" w:cs="宋体"/>
          <w:highlight w:val="none"/>
        </w:rPr>
        <w:t xml:space="preserve">扬州市公安局公安交通管理综合应用平台社会化服务系统升级改造</w:t>
      </w:r>
      <w:r>
        <w:rPr>
          <w:rFonts w:ascii="宋体" w:hAnsi="宋体" w:cs="宋体"/>
          <w:highlight w:val="none"/>
        </w:rPr>
      </w:r>
      <w:r/>
    </w:p>
    <w:p>
      <w:pPr>
        <w:pStyle w:val="741"/>
        <w:ind w:firstLine="420"/>
        <w:spacing w:line="360" w:lineRule="auto"/>
        <w:rPr>
          <w:rFonts w:ascii="宋体" w:hAnsi="宋体" w:cs="宋体"/>
          <w:highlight w:val="none"/>
        </w:rPr>
      </w:pPr>
      <w:r>
        <w:rPr>
          <w:rFonts w:hint="eastAsia" w:ascii="宋体" w:hAnsi="宋体" w:cs="宋体"/>
          <w:highlight w:val="none"/>
        </w:rPr>
        <w:t xml:space="preserve">3.预算金额：154.38万元</w:t>
      </w:r>
      <w:r>
        <w:rPr>
          <w:rFonts w:ascii="宋体" w:hAnsi="宋体" w:cs="宋体"/>
          <w:highlight w:val="none"/>
        </w:rPr>
      </w:r>
      <w:r/>
    </w:p>
    <w:p>
      <w:pPr>
        <w:pStyle w:val="741"/>
        <w:ind w:firstLine="420"/>
        <w:spacing w:line="360" w:lineRule="auto"/>
        <w:rPr>
          <w:rFonts w:ascii="宋体" w:hAnsi="宋体" w:cs="宋体"/>
          <w:highlight w:val="none"/>
        </w:rPr>
      </w:pPr>
      <w:r>
        <w:rPr>
          <w:rFonts w:hint="eastAsia" w:ascii="宋体" w:hAnsi="宋体" w:cs="宋体"/>
          <w:highlight w:val="none"/>
        </w:rPr>
        <w:t xml:space="preserve">4.本项目设置最高限价，最高限价为104.6万元。</w:t>
      </w:r>
      <w:r>
        <w:rPr>
          <w:rFonts w:ascii="宋体" w:hAnsi="宋体" w:cs="宋体"/>
          <w:highlight w:val="none"/>
        </w:rPr>
      </w:r>
      <w:r/>
    </w:p>
    <w:p>
      <w:pPr>
        <w:pStyle w:val="741"/>
        <w:ind w:firstLine="420"/>
        <w:spacing w:line="360" w:lineRule="auto"/>
        <w:rPr>
          <w:rFonts w:ascii="宋体" w:hAnsi="宋体" w:cs="宋体"/>
          <w:highlight w:val="none"/>
          <w:u w:val="single"/>
        </w:rPr>
      </w:pPr>
      <w:r>
        <w:rPr>
          <w:rFonts w:hint="eastAsia" w:ascii="宋体" w:hAnsi="宋体" w:cs="宋体"/>
          <w:highlight w:val="none"/>
        </w:rPr>
        <w:t xml:space="preserve">5.采购需求：具体详见招标文件第四章。</w:t>
      </w:r>
      <w:r>
        <w:rPr>
          <w:rFonts w:ascii="宋体" w:hAnsi="宋体" w:cs="宋体"/>
          <w:highlight w:val="none"/>
          <w:u w:val="single"/>
        </w:rPr>
      </w:r>
      <w:r/>
    </w:p>
    <w:p>
      <w:pPr>
        <w:pStyle w:val="741"/>
        <w:ind w:firstLine="420"/>
        <w:spacing w:line="360" w:lineRule="auto"/>
        <w:rPr>
          <w:rFonts w:ascii="宋体" w:hAnsi="宋体" w:cs="宋体"/>
          <w:highlight w:val="none"/>
        </w:rPr>
      </w:pPr>
      <w:r>
        <w:rPr>
          <w:rFonts w:hint="eastAsia" w:ascii="宋体" w:hAnsi="宋体" w:cs="宋体"/>
          <w:highlight w:val="none"/>
        </w:rPr>
        <w:t xml:space="preserve">6.合同履行期限：合同签订之日起2个月内完成安装调试。验收合格之日起三年免费维护服务。</w:t>
      </w:r>
      <w:r>
        <w:rPr>
          <w:rFonts w:ascii="宋体" w:hAnsi="宋体" w:cs="宋体"/>
          <w:highlight w:val="none"/>
        </w:rPr>
      </w:r>
      <w:r/>
    </w:p>
    <w:p>
      <w:pPr>
        <w:pStyle w:val="741"/>
        <w:ind w:firstLine="420"/>
        <w:spacing w:line="360" w:lineRule="auto"/>
        <w:rPr>
          <w:rFonts w:ascii="宋体" w:hAnsi="宋体" w:cs="宋体"/>
          <w:highlight w:val="none"/>
        </w:rPr>
      </w:pPr>
      <w:r/>
      <w:bookmarkStart w:id="8" w:name="_Toc35393791"/>
      <w:r/>
      <w:bookmarkStart w:id="9" w:name="_Toc28359080"/>
      <w:r/>
      <w:bookmarkStart w:id="10" w:name="_Toc38985264"/>
      <w:r/>
      <w:bookmarkStart w:id="11" w:name="_Toc28359003"/>
      <w:r/>
      <w:bookmarkStart w:id="12" w:name="_Toc35393622"/>
      <w:r>
        <w:rPr>
          <w:rFonts w:hint="eastAsia" w:ascii="宋体" w:hAnsi="宋体" w:cs="宋体"/>
          <w:highlight w:val="none"/>
        </w:rPr>
        <w:t xml:space="preserve">7.本项目不接受联合体投标。</w:t>
      </w:r>
      <w:r>
        <w:rPr>
          <w:rFonts w:ascii="宋体" w:hAnsi="宋体" w:cs="宋体"/>
          <w:highlight w:val="none"/>
        </w:rPr>
      </w:r>
      <w:r/>
    </w:p>
    <w:p>
      <w:pPr>
        <w:pStyle w:val="741"/>
        <w:ind w:firstLine="420"/>
        <w:spacing w:line="360" w:lineRule="auto"/>
        <w:rPr>
          <w:rFonts w:ascii="宋体" w:hAnsi="宋体" w:cs="宋体"/>
          <w:b/>
          <w:highlight w:val="none"/>
        </w:rPr>
      </w:pPr>
      <w:r>
        <w:rPr>
          <w:rFonts w:hint="eastAsia" w:ascii="宋体" w:hAnsi="宋体" w:cs="宋体"/>
          <w:b/>
          <w:highlight w:val="none"/>
        </w:rPr>
        <w:t xml:space="preserve">8.本项目不接受进口产品投标。</w:t>
      </w:r>
      <w:r>
        <w:rPr>
          <w:rFonts w:ascii="宋体" w:hAnsi="宋体" w:cs="宋体"/>
          <w:b/>
          <w:highlight w:val="none"/>
        </w:rPr>
      </w:r>
      <w:r/>
    </w:p>
    <w:p>
      <w:pPr>
        <w:pStyle w:val="741"/>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Pr>
          <w:rFonts w:ascii="宋体" w:hAnsi="宋体" w:cs="宋体"/>
          <w:b/>
          <w:bCs/>
        </w:rPr>
      </w:r>
      <w:r/>
    </w:p>
    <w:p>
      <w:pPr>
        <w:pStyle w:val="741"/>
        <w:ind w:firstLine="420"/>
        <w:spacing w:line="360" w:lineRule="auto"/>
        <w:rPr>
          <w:rFonts w:ascii="宋体" w:hAnsi="宋体" w:cs="宋体"/>
          <w:szCs w:val="21"/>
        </w:rPr>
      </w:pPr>
      <w:r/>
      <w:bookmarkStart w:id="13" w:name="_Toc28359004"/>
      <w:r/>
      <w:bookmarkStart w:id="14" w:name="_Toc35393792"/>
      <w:r/>
      <w:bookmarkStart w:id="15" w:name="_Toc38985265"/>
      <w:r/>
      <w:bookmarkStart w:id="16" w:name="_Toc28359081"/>
      <w:r/>
      <w:bookmarkStart w:id="17" w:name="_Toc35393623"/>
      <w:r>
        <w:rPr>
          <w:rFonts w:hint="eastAsia" w:ascii="宋体" w:hAnsi="宋体" w:cs="宋体"/>
          <w:szCs w:val="21"/>
        </w:rPr>
        <w:t xml:space="preserve">1.满足《中华人民共和国政府采购法》第二十二条规定，并提供下列材料：</w:t>
      </w:r>
      <w:r>
        <w:rPr>
          <w:rFonts w:ascii="宋体" w:hAnsi="宋体" w:cs="宋体"/>
          <w:szCs w:val="21"/>
        </w:rPr>
      </w:r>
      <w:r/>
    </w:p>
    <w:p>
      <w:pPr>
        <w:pStyle w:val="741"/>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ascii="宋体" w:hAnsi="宋体" w:cs="宋体"/>
          <w:i/>
          <w:iCs/>
          <w:szCs w:val="21"/>
          <w:u w:val="single"/>
        </w:rPr>
      </w:r>
      <w:r/>
    </w:p>
    <w:p>
      <w:pPr>
        <w:pStyle w:val="741"/>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依法缴纳税收和社会保障资金的相关材料（提供提交投标文件截止时间前一年内任意一个月依法缴纳税收及缴纳社会保障资金的证明材料。投标人依法享受缓缴、免缴税收、社会保障资金的提供证明材料。）；</w:t>
      </w:r>
      <w:r>
        <w:rPr>
          <w:rFonts w:ascii="宋体" w:hAnsi="宋体" w:cs="宋体"/>
          <w:i/>
          <w:iCs/>
          <w:szCs w:val="21"/>
          <w:u w:val="single"/>
        </w:rPr>
      </w:r>
      <w:r/>
    </w:p>
    <w:p>
      <w:pPr>
        <w:pStyle w:val="741"/>
        <w:ind w:firstLine="420"/>
        <w:spacing w:line="360" w:lineRule="auto"/>
        <w:rPr>
          <w:rFonts w:ascii="宋体" w:hAnsi="宋体" w:cs="宋体"/>
          <w:i/>
          <w:iCs/>
          <w:szCs w:val="21"/>
          <w:u w:val="single"/>
        </w:rPr>
      </w:pPr>
      <w:r>
        <w:rPr>
          <w:rFonts w:hint="eastAsia" w:ascii="宋体" w:hAnsi="宋体" w:cs="宋体"/>
          <w:i/>
          <w:iCs/>
          <w:szCs w:val="21"/>
          <w:u w:val="single"/>
        </w:rPr>
        <w:t xml:space="preserve">1.3 上一年度的财务状况报告（成立不满一年无需提供）</w:t>
      </w:r>
      <w:r>
        <w:rPr>
          <w:rFonts w:ascii="宋体" w:hAnsi="宋体" w:cs="宋体"/>
          <w:i/>
          <w:iCs/>
          <w:szCs w:val="21"/>
          <w:u w:val="single"/>
        </w:rPr>
      </w:r>
      <w:r/>
    </w:p>
    <w:p>
      <w:pPr>
        <w:pStyle w:val="741"/>
        <w:ind w:firstLine="420"/>
        <w:spacing w:line="360" w:lineRule="auto"/>
        <w:rPr>
          <w:rFonts w:ascii="宋体" w:hAnsi="宋体" w:cs="宋体"/>
          <w:i/>
          <w:iCs/>
          <w:szCs w:val="21"/>
          <w:u w:val="single"/>
        </w:rPr>
      </w:pPr>
      <w:r>
        <w:rPr>
          <w:rFonts w:hint="eastAsia" w:ascii="宋体" w:hAnsi="宋体" w:cs="宋体"/>
          <w:i/>
          <w:iCs/>
          <w:szCs w:val="21"/>
          <w:u w:val="single"/>
        </w:rPr>
        <w:t xml:space="preserve">1.4 具备履行合同所必需的设备和专业技术能力的证明材料</w:t>
      </w:r>
      <w:r>
        <w:rPr>
          <w:rFonts w:ascii="宋体" w:hAnsi="宋体" w:cs="宋体"/>
          <w:i/>
          <w:iCs/>
          <w:szCs w:val="21"/>
          <w:u w:val="single"/>
        </w:rPr>
      </w:r>
      <w:r/>
    </w:p>
    <w:p>
      <w:pPr>
        <w:pStyle w:val="741"/>
        <w:ind w:firstLine="420"/>
        <w:spacing w:line="360" w:lineRule="auto"/>
        <w:rPr>
          <w:rFonts w:ascii="宋体" w:hAnsi="宋体" w:cs="宋体"/>
          <w:i/>
          <w:iCs/>
          <w:szCs w:val="21"/>
          <w:u w:val="single"/>
        </w:rPr>
      </w:pPr>
      <w:r>
        <w:rPr>
          <w:rFonts w:hint="eastAsia" w:ascii="宋体" w:hAnsi="宋体" w:cs="宋体"/>
          <w:i/>
          <w:iCs/>
          <w:szCs w:val="21"/>
          <w:u w:val="single"/>
        </w:rPr>
        <w:t xml:space="preserve">1.5 参加本次政府采购活动前3年内在经营活动中没有重大违法记录的书面声明</w:t>
      </w:r>
      <w:r>
        <w:rPr>
          <w:rFonts w:ascii="宋体" w:hAnsi="宋体" w:cs="宋体"/>
          <w:i/>
          <w:iCs/>
          <w:szCs w:val="21"/>
          <w:u w:val="single"/>
        </w:rPr>
      </w:r>
      <w:r/>
    </w:p>
    <w:p>
      <w:pPr>
        <w:pStyle w:val="741"/>
        <w:ind w:firstLine="420"/>
        <w:spacing w:line="360" w:lineRule="auto"/>
        <w:rPr>
          <w:rFonts w:ascii="宋体" w:hAnsi="宋体" w:cs="宋体"/>
          <w:i/>
          <w:iCs/>
          <w:szCs w:val="21"/>
          <w:u w:val="single"/>
        </w:rPr>
      </w:pPr>
      <w:r>
        <w:rPr>
          <w:rFonts w:hint="eastAsia" w:ascii="宋体" w:hAnsi="宋体" w:cs="宋体"/>
          <w:i/>
          <w:iCs/>
          <w:szCs w:val="21"/>
          <w:u w:val="single"/>
        </w:rPr>
        <w:t xml:space="preserve">1.6 未被“信用中国”网站（www.creditchina.gov.cn）、“中国政府采购网"(www.ccgp.gov.cn)列入失信被执行人、重大税收违法案件当事人名单、政府采购严重违法失信行为记录名单</w:t>
      </w:r>
      <w:r>
        <w:rPr>
          <w:rFonts w:ascii="宋体" w:hAnsi="宋体" w:cs="宋体"/>
          <w:i/>
          <w:iCs/>
          <w:szCs w:val="21"/>
          <w:u w:val="single"/>
        </w:rPr>
      </w:r>
      <w:r/>
    </w:p>
    <w:p>
      <w:pPr>
        <w:pStyle w:val="741"/>
        <w:ind w:firstLine="420"/>
        <w:spacing w:line="360" w:lineRule="auto"/>
        <w:rPr>
          <w:rFonts w:ascii="宋体" w:hAnsi="宋体" w:cs="宋体"/>
          <w:i/>
          <w:iCs/>
          <w:szCs w:val="21"/>
          <w:u w:val="single"/>
        </w:rPr>
      </w:pPr>
      <w:r>
        <w:rPr>
          <w:rFonts w:hint="eastAsia" w:ascii="宋体" w:hAnsi="宋体" w:cs="宋体"/>
          <w:i/>
          <w:iCs/>
          <w:szCs w:val="21"/>
          <w:u w:val="single"/>
        </w:rPr>
        <w:t xml:space="preserve">1.7供应商信用承诺函</w:t>
      </w:r>
      <w:r>
        <w:rPr>
          <w:rFonts w:ascii="宋体" w:hAnsi="宋体" w:cs="宋体"/>
          <w:i/>
          <w:iCs/>
          <w:szCs w:val="21"/>
          <w:u w:val="single"/>
        </w:rPr>
      </w:r>
      <w:r/>
    </w:p>
    <w:p>
      <w:pPr>
        <w:pStyle w:val="741"/>
        <w:ind w:firstLine="420"/>
        <w:spacing w:line="440" w:lineRule="exact"/>
        <w:rPr>
          <w:rFonts w:ascii="宋体" w:hAnsi="宋体" w:cs="宋体"/>
          <w:szCs w:val="21"/>
          <w:highlight w:val="none"/>
        </w:rPr>
      </w:pPr>
      <w:r>
        <w:rPr>
          <w:rFonts w:hint="eastAsia" w:ascii="宋体" w:hAnsi="宋体" w:cs="宋体"/>
          <w:szCs w:val="21"/>
          <w:highlight w:val="none"/>
        </w:rPr>
        <w:t xml:space="preserve">2.落实政府采购政策需满足的资格要求：</w:t>
      </w:r>
      <w:r>
        <w:rPr>
          <w:rFonts w:hint="eastAsia" w:ascii="宋体" w:hAnsi="宋体" w:cs="宋体"/>
          <w:i/>
          <w:iCs/>
          <w:szCs w:val="21"/>
          <w:highlight w:val="none"/>
          <w:u w:val="single"/>
        </w:rPr>
        <w:t xml:space="preserve">本项目专门面向中小企业采购，投标人应在投标文件中按要求提供《中小企业声明函》。</w:t>
      </w:r>
      <w:r>
        <w:rPr>
          <w:rFonts w:ascii="宋体" w:hAnsi="宋体" w:cs="宋体"/>
          <w:szCs w:val="21"/>
          <w:highlight w:val="none"/>
        </w:rPr>
      </w:r>
      <w:r/>
    </w:p>
    <w:p>
      <w:pPr>
        <w:pStyle w:val="741"/>
        <w:ind w:firstLine="420"/>
        <w:spacing w:line="440" w:lineRule="exact"/>
        <w:rPr>
          <w:rFonts w:ascii="宋体" w:hAnsi="宋体" w:cs="宋体"/>
          <w:szCs w:val="21"/>
          <w:highlight w:val="none"/>
        </w:rPr>
      </w:pPr>
      <w:r>
        <w:rPr>
          <w:rFonts w:hint="eastAsia" w:ascii="宋体" w:hAnsi="宋体" w:cs="宋体"/>
          <w:szCs w:val="21"/>
          <w:highlight w:val="none"/>
        </w:rPr>
        <w:t xml:space="preserve">3.本项目的特定资格要求：</w:t>
      </w:r>
      <w:r>
        <w:rPr>
          <w:rFonts w:hint="eastAsia" w:ascii="宋体" w:hAnsi="宋体" w:cs="宋体"/>
          <w:i/>
          <w:szCs w:val="21"/>
          <w:highlight w:val="none"/>
          <w:u w:val="single"/>
        </w:rPr>
        <w:t xml:space="preserve">无</w:t>
      </w:r>
      <w:r>
        <w:rPr>
          <w:rFonts w:ascii="宋体" w:hAnsi="宋体" w:cs="宋体"/>
          <w:szCs w:val="21"/>
          <w:highlight w:val="none"/>
        </w:rPr>
      </w:r>
      <w:r/>
    </w:p>
    <w:p>
      <w:pPr>
        <w:pStyle w:val="741"/>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Pr>
          <w:rFonts w:ascii="宋体" w:hAnsi="宋体" w:cs="宋体"/>
          <w:b/>
          <w:bCs/>
        </w:rPr>
      </w:r>
      <w:r/>
    </w:p>
    <w:p>
      <w:pPr>
        <w:pStyle w:val="741"/>
        <w:ind w:firstLine="540"/>
        <w:spacing w:line="360" w:lineRule="auto"/>
        <w:rPr>
          <w:rFonts w:ascii="宋体" w:hAnsi="宋体" w:cs="宋体"/>
        </w:rPr>
      </w:pPr>
      <w:r/>
      <w:bookmarkStart w:id="18" w:name="_Toc28359082"/>
      <w:r/>
      <w:bookmarkStart w:id="19" w:name="_Toc28359005"/>
      <w:r/>
      <w:bookmarkStart w:id="20" w:name="_Toc35393793"/>
      <w:r/>
      <w:bookmarkStart w:id="21" w:name="_Toc38985266"/>
      <w:r/>
      <w:bookmarkStart w:id="22" w:name="_Toc35393624"/>
      <w:r>
        <w:rPr>
          <w:rFonts w:hint="eastAsia" w:ascii="宋体" w:hAnsi="宋体" w:cs="宋体"/>
        </w:rPr>
        <w:t xml:space="preserve">1.时间：自招标文件公告发布之日起5个工作日。5个工作日后仍可下载招标文件，但不作为供应商权益受到损害的证明材料和依据。</w:t>
      </w:r>
      <w:r>
        <w:rPr>
          <w:rFonts w:ascii="宋体" w:hAnsi="宋体" w:cs="宋体"/>
        </w:rPr>
      </w:r>
      <w:r/>
    </w:p>
    <w:p>
      <w:pPr>
        <w:pStyle w:val="741"/>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rPr>
          <w:rFonts w:ascii="宋体" w:hAnsi="宋体"/>
          <w:b/>
          <w:bCs/>
          <w:szCs w:val="21"/>
        </w:rPr>
      </w:r>
      <w:r/>
    </w:p>
    <w:p>
      <w:pPr>
        <w:pStyle w:val="741"/>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rPr>
          <w:rFonts w:ascii="宋体" w:hAnsi="宋体" w:cs="宋体"/>
          <w:b/>
          <w:bCs/>
        </w:rPr>
      </w:r>
      <w:r/>
    </w:p>
    <w:p>
      <w:pPr>
        <w:pStyle w:val="741"/>
        <w:ind w:firstLine="422"/>
        <w:spacing w:line="360" w:lineRule="auto"/>
        <w:tabs>
          <w:tab w:val="left" w:pos="266" w:leader="none"/>
        </w:tabs>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bCs/>
        </w:rPr>
      </w:r>
      <w:r/>
    </w:p>
    <w:p>
      <w:pPr>
        <w:pStyle w:val="741"/>
        <w:ind w:firstLine="422"/>
        <w:spacing w:line="360" w:lineRule="auto"/>
        <w:tabs>
          <w:tab w:val="left" w:pos="266" w:leader="none"/>
        </w:tabs>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rPr>
          <w:rFonts w:ascii="宋体" w:hAnsi="宋体" w:cs="宋体"/>
          <w:b/>
          <w:bCs/>
        </w:rPr>
      </w:r>
      <w:r/>
    </w:p>
    <w:p>
      <w:pPr>
        <w:pStyle w:val="741"/>
        <w:ind w:firstLine="422"/>
        <w:spacing w:line="360" w:lineRule="auto"/>
        <w:tabs>
          <w:tab w:val="left" w:pos="266" w:leader="none"/>
        </w:tabs>
        <w:rPr>
          <w:rFonts w:ascii="宋体" w:hAnsi="宋体" w:cs="宋体"/>
          <w:b/>
          <w:bCs/>
        </w:rPr>
      </w:pPr>
      <w:r>
        <w:rPr>
          <w:rFonts w:hint="eastAsia" w:ascii="宋体" w:hAnsi="宋体" w:cs="宋体"/>
          <w:b/>
          <w:bCs/>
        </w:rPr>
        <w:t xml:space="preserve">（3）“CA数字证书”的办理材料以及供应商操作手册详见：http://zfcg.yangzhou.gov.cn/zfcg/xzzx/202309/4d7de1f7865f4a2894fc22bc452f94d8.shtml。</w:t>
      </w:r>
      <w:r>
        <w:rPr>
          <w:rFonts w:ascii="宋体" w:hAnsi="宋体" w:cs="宋体"/>
          <w:b/>
          <w:bCs/>
        </w:rPr>
      </w:r>
      <w:r/>
    </w:p>
    <w:p>
      <w:pPr>
        <w:pStyle w:val="741"/>
        <w:ind w:firstLine="422"/>
        <w:spacing w:line="360" w:lineRule="auto"/>
        <w:tabs>
          <w:tab w:val="left" w:pos="266" w:leader="none"/>
        </w:tabs>
        <w:rPr>
          <w:rFonts w:ascii="宋体" w:hAnsi="宋体" w:cs="宋体"/>
          <w:b/>
          <w:bCs/>
        </w:rPr>
      </w:pPr>
      <w:r>
        <w:rPr>
          <w:rFonts w:hint="eastAsia" w:ascii="宋体" w:hAnsi="宋体" w:cs="宋体"/>
          <w:b/>
          <w:bCs/>
        </w:rPr>
        <w:t xml:space="preserve">（4）潜在供应商访问“苏采云”系统的网络地址和方法：“苏采云”系统的网址：http://jszfcg.jsczt.cn/。</w:t>
      </w:r>
      <w:r>
        <w:rPr>
          <w:rFonts w:ascii="宋体" w:hAnsi="宋体" w:cs="宋体"/>
          <w:b/>
          <w:bCs/>
        </w:rPr>
      </w:r>
      <w:r/>
    </w:p>
    <w:p>
      <w:pPr>
        <w:pStyle w:val="741"/>
        <w:ind w:firstLine="422"/>
        <w:spacing w:line="360" w:lineRule="auto"/>
        <w:tabs>
          <w:tab w:val="left" w:pos="266" w:leader="none"/>
        </w:tabs>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rPr>
          <w:rFonts w:ascii="宋体" w:hAnsi="宋体" w:cs="宋体"/>
          <w:b/>
          <w:bCs/>
        </w:rPr>
      </w:r>
      <w:r/>
    </w:p>
    <w:p>
      <w:pPr>
        <w:pStyle w:val="741"/>
        <w:ind w:firstLine="422"/>
        <w:spacing w:line="360" w:lineRule="auto"/>
        <w:tabs>
          <w:tab w:val="left" w:pos="266" w:leader="none"/>
        </w:tabs>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rPr>
          <w:rFonts w:ascii="宋体" w:hAnsi="宋体" w:cs="宋体"/>
          <w:b/>
          <w:bCs/>
        </w:rPr>
      </w:r>
      <w:r/>
    </w:p>
    <w:p>
      <w:pPr>
        <w:pStyle w:val="741"/>
        <w:ind w:firstLine="422"/>
        <w:spacing w:line="360" w:lineRule="auto"/>
        <w:tabs>
          <w:tab w:val="left" w:pos="266" w:leader="none"/>
        </w:tabs>
        <w:rPr>
          <w:rFonts w:ascii="宋体" w:hAnsi="宋体" w:cs="宋体"/>
          <w:b/>
          <w:bCs/>
        </w:rPr>
      </w:pPr>
      <w:r>
        <w:rPr>
          <w:rFonts w:hint="eastAsia" w:ascii="宋体" w:hAnsi="宋体" w:cs="宋体"/>
          <w:b/>
          <w:bCs/>
        </w:rPr>
        <w:t xml:space="preserve">（7）苏采云系统使用谷歌浏览器参与不见面开标。</w:t>
      </w:r>
      <w:r>
        <w:rPr>
          <w:rFonts w:ascii="宋体" w:hAnsi="宋体" w:cs="宋体"/>
          <w:b/>
          <w:bCs/>
        </w:rPr>
      </w:r>
      <w:r/>
    </w:p>
    <w:p>
      <w:pPr>
        <w:pStyle w:val="741"/>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Pr>
          <w:rFonts w:ascii="宋体" w:hAnsi="宋体" w:cs="宋体"/>
          <w:b/>
          <w:bCs/>
        </w:rPr>
      </w:r>
      <w:r/>
    </w:p>
    <w:p>
      <w:pPr>
        <w:pStyle w:val="741"/>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2025年</w:t>
      </w:r>
      <w:r>
        <w:rPr>
          <w:rFonts w:hint="eastAsia" w:ascii="宋体" w:hAnsi="宋体" w:cs="宋体"/>
          <w:bCs/>
          <w:u w:val="single"/>
          <w:lang w:val="en-US" w:eastAsia="zh-CN"/>
        </w:rPr>
        <w:t xml:space="preserve">12</w:t>
      </w:r>
      <w:r>
        <w:rPr>
          <w:rFonts w:hint="eastAsia" w:ascii="宋体" w:hAnsi="宋体" w:cs="宋体"/>
          <w:bCs/>
          <w:u w:val="single"/>
        </w:rPr>
        <w:t xml:space="preserve">月</w:t>
      </w:r>
      <w:r>
        <w:rPr>
          <w:rFonts w:hint="eastAsia" w:ascii="宋体" w:hAnsi="宋体" w:cs="宋体"/>
          <w:bCs/>
          <w:u w:val="single"/>
          <w:lang w:val="en-US" w:eastAsia="zh-CN"/>
        </w:rPr>
        <w:t xml:space="preserve">25</w:t>
      </w:r>
      <w:r>
        <w:rPr>
          <w:rFonts w:hint="eastAsia" w:ascii="宋体" w:hAnsi="宋体" w:cs="宋体"/>
          <w:bCs/>
          <w:u w:val="single"/>
        </w:rPr>
        <w:t xml:space="preserve">日9点30分</w:t>
      </w:r>
      <w:r>
        <w:rPr>
          <w:rFonts w:hint="eastAsia" w:ascii="宋体" w:hAnsi="宋体" w:cs="宋体"/>
          <w:bCs/>
        </w:rPr>
        <w:t xml:space="preserve">（北京时间）</w:t>
      </w:r>
      <w:r>
        <w:rPr>
          <w:rFonts w:ascii="宋体" w:hAnsi="宋体" w:cs="宋体"/>
          <w:bCs/>
          <w:szCs w:val="21"/>
          <w:u w:val="single"/>
        </w:rPr>
      </w:r>
      <w:r/>
    </w:p>
    <w:p>
      <w:pPr>
        <w:pStyle w:val="741"/>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rPr>
          <w:rFonts w:ascii="宋体" w:hAnsi="宋体" w:cs="宋体"/>
          <w:bCs/>
          <w:u w:val="single"/>
        </w:rPr>
      </w:r>
      <w:r/>
    </w:p>
    <w:p>
      <w:pPr>
        <w:pStyle w:val="741"/>
        <w:spacing w:line="360" w:lineRule="auto"/>
        <w:tabs>
          <w:tab w:val="left" w:pos="266" w:leader="none"/>
        </w:tabs>
        <w:rPr>
          <w:rFonts w:ascii="宋体" w:hAnsi="宋体" w:cs="宋体"/>
          <w:b/>
          <w:bCs/>
        </w:rPr>
      </w:pPr>
      <w:r/>
      <w:bookmarkStart w:id="23" w:name="_Toc35393794"/>
      <w:r/>
      <w:bookmarkStart w:id="24" w:name="_Toc38985267"/>
      <w:r/>
      <w:bookmarkStart w:id="25" w:name="_Toc28359007"/>
      <w:r/>
      <w:bookmarkStart w:id="26" w:name="_Toc28359084"/>
      <w:r/>
      <w:bookmarkStart w:id="27" w:name="_Toc35393625"/>
      <w:r>
        <w:rPr>
          <w:rFonts w:hint="eastAsia" w:ascii="宋体" w:hAnsi="宋体" w:cs="宋体"/>
          <w:b/>
          <w:bCs/>
        </w:rPr>
        <w:t xml:space="preserve">五、公告期限</w:t>
      </w:r>
      <w:bookmarkEnd w:id="23"/>
      <w:r/>
      <w:bookmarkEnd w:id="24"/>
      <w:r/>
      <w:bookmarkEnd w:id="25"/>
      <w:r/>
      <w:bookmarkEnd w:id="26"/>
      <w:r/>
      <w:bookmarkEnd w:id="27"/>
      <w:r>
        <w:rPr>
          <w:rFonts w:ascii="宋体" w:hAnsi="宋体" w:cs="宋体"/>
          <w:b/>
          <w:bCs/>
        </w:rPr>
      </w:r>
      <w:r/>
    </w:p>
    <w:p>
      <w:pPr>
        <w:pStyle w:val="741"/>
        <w:ind w:firstLine="420"/>
        <w:spacing w:line="360" w:lineRule="auto"/>
        <w:rPr>
          <w:rFonts w:ascii="宋体" w:hAnsi="宋体" w:cs="宋体"/>
        </w:rPr>
      </w:pPr>
      <w:r/>
      <w:bookmarkStart w:id="28" w:name="_Toc35393626"/>
      <w:r/>
      <w:bookmarkStart w:id="29" w:name="_Toc38985268"/>
      <w:r/>
      <w:bookmarkStart w:id="30" w:name="_Toc35393795"/>
      <w:r>
        <w:rPr>
          <w:rFonts w:hint="eastAsia" w:ascii="宋体" w:hAnsi="宋体" w:cs="宋体"/>
        </w:rPr>
        <w:t xml:space="preserve">招标公告及招标文件公告期限为自本公告发布之日起5个工作日。</w:t>
      </w:r>
      <w:r>
        <w:rPr>
          <w:rFonts w:ascii="宋体" w:hAnsi="宋体" w:cs="宋体"/>
        </w:rPr>
      </w:r>
      <w:r/>
    </w:p>
    <w:p>
      <w:pPr>
        <w:pStyle w:val="741"/>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Pr>
          <w:rFonts w:ascii="宋体" w:hAnsi="宋体" w:cs="宋体"/>
          <w:b/>
          <w:bCs/>
        </w:rPr>
      </w:r>
      <w:r/>
    </w:p>
    <w:p>
      <w:pPr>
        <w:pStyle w:val="741"/>
        <w:ind w:firstLine="525"/>
        <w:spacing w:line="360" w:lineRule="auto"/>
        <w:rPr>
          <w:rFonts w:ascii="宋体" w:hAnsi="宋体" w:cs="宋体"/>
          <w:szCs w:val="21"/>
        </w:rPr>
      </w:pPr>
      <w:r>
        <w:rPr>
          <w:rFonts w:hint="eastAsia" w:ascii="宋体" w:hAnsi="宋体" w:cs="宋体"/>
        </w:rPr>
        <w:t xml:space="preserve">无</w:t>
      </w:r>
      <w:r>
        <w:rPr>
          <w:rFonts w:ascii="宋体" w:hAnsi="宋体" w:cs="宋体"/>
          <w:szCs w:val="21"/>
        </w:rPr>
      </w:r>
      <w:r/>
    </w:p>
    <w:p>
      <w:pPr>
        <w:pStyle w:val="741"/>
        <w:spacing w:line="360" w:lineRule="auto"/>
        <w:tabs>
          <w:tab w:val="left" w:pos="266" w:leader="none"/>
        </w:tabs>
        <w:rPr>
          <w:rFonts w:ascii="宋体" w:hAnsi="宋体" w:cs="宋体"/>
          <w:b/>
          <w:bCs/>
        </w:rPr>
      </w:pPr>
      <w:r/>
      <w:bookmarkStart w:id="31" w:name="_Toc28359008"/>
      <w:r/>
      <w:bookmarkStart w:id="32" w:name="_Toc35393627"/>
      <w:r/>
      <w:bookmarkStart w:id="33" w:name="_Toc38985269"/>
      <w:r/>
      <w:bookmarkStart w:id="34" w:name="_Toc28359085"/>
      <w:r/>
      <w:bookmarkStart w:id="35" w:name="_Toc35393796"/>
      <w:r>
        <w:rPr>
          <w:rFonts w:hint="eastAsia" w:ascii="宋体" w:hAnsi="宋体" w:cs="宋体"/>
          <w:b/>
          <w:bCs/>
        </w:rPr>
        <w:t xml:space="preserve">七、本次招标联系方式</w:t>
      </w:r>
      <w:bookmarkEnd w:id="31"/>
      <w:r/>
      <w:bookmarkEnd w:id="32"/>
      <w:r/>
      <w:bookmarkEnd w:id="33"/>
      <w:r/>
      <w:bookmarkEnd w:id="34"/>
      <w:r/>
      <w:bookmarkEnd w:id="35"/>
      <w:r>
        <w:rPr>
          <w:rFonts w:ascii="宋体" w:hAnsi="宋体" w:cs="宋体"/>
          <w:b/>
          <w:bCs/>
        </w:rPr>
      </w:r>
      <w:r/>
    </w:p>
    <w:p>
      <w:pPr>
        <w:pStyle w:val="741"/>
        <w:ind w:firstLine="420"/>
        <w:jc w:val="left"/>
        <w:spacing w:line="360" w:lineRule="auto"/>
        <w:widowControl/>
        <w:rPr>
          <w:rFonts w:ascii="宋体" w:hAnsi="宋体" w:cs="宋体"/>
          <w:szCs w:val="21"/>
        </w:rPr>
      </w:pPr>
      <w:r>
        <w:rPr>
          <w:rFonts w:hint="eastAsia" w:ascii="宋体" w:hAnsi="宋体" w:cs="宋体"/>
        </w:rPr>
        <w:t xml:space="preserve">1.采购人信息</w:t>
      </w:r>
      <w:r>
        <w:rPr>
          <w:rFonts w:ascii="宋体" w:hAnsi="宋体" w:cs="宋体"/>
          <w:szCs w:val="21"/>
        </w:rPr>
      </w:r>
      <w:r/>
    </w:p>
    <w:p>
      <w:pPr>
        <w:pStyle w:val="741"/>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cs="宋体"/>
          <w:u w:val="single"/>
        </w:rPr>
        <w:t xml:space="preserve">扬州市公安局</w:t>
      </w:r>
      <w:r>
        <w:rPr>
          <w:rFonts w:ascii="宋体" w:hAnsi="宋体" w:cs="宋体"/>
        </w:rPr>
      </w:r>
      <w:r/>
    </w:p>
    <w:p>
      <w:pPr>
        <w:pStyle w:val="741"/>
        <w:ind w:firstLine="420"/>
        <w:jc w:val="left"/>
        <w:spacing w:line="360" w:lineRule="auto"/>
        <w:rPr>
          <w:rFonts w:ascii="宋体" w:hAnsi="宋体" w:cs="宋体"/>
          <w:u w:val="single"/>
        </w:rPr>
      </w:pPr>
      <w:r>
        <w:rPr>
          <w:rFonts w:hint="eastAsia" w:ascii="宋体" w:hAnsi="宋体" w:cs="宋体"/>
        </w:rPr>
        <w:t xml:space="preserve">地 址：</w:t>
      </w:r>
      <w:r>
        <w:rPr>
          <w:rFonts w:hint="eastAsia" w:ascii="宋体" w:hAnsi="宋体" w:cs="宋体"/>
          <w:u w:val="single"/>
        </w:rPr>
        <w:t xml:space="preserve">扬州市邗江区润扬中路98号</w:t>
      </w:r>
      <w:r>
        <w:rPr>
          <w:rFonts w:ascii="宋体" w:hAnsi="宋体" w:cs="宋体"/>
          <w:u w:val="single"/>
        </w:rPr>
      </w:r>
      <w:r/>
    </w:p>
    <w:p>
      <w:pPr>
        <w:pStyle w:val="741"/>
        <w:ind w:firstLine="420"/>
        <w:jc w:val="left"/>
        <w:spacing w:line="360" w:lineRule="auto"/>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卢扬</w:t>
      </w:r>
      <w:r>
        <w:rPr>
          <w:rFonts w:ascii="宋体" w:hAnsi="宋体" w:cs="宋体"/>
          <w:u w:val="single"/>
        </w:rPr>
      </w:r>
      <w:r/>
    </w:p>
    <w:p>
      <w:pPr>
        <w:pStyle w:val="741"/>
        <w:ind w:firstLine="420"/>
        <w:jc w:val="left"/>
        <w:spacing w:line="360" w:lineRule="auto"/>
        <w:rPr>
          <w:rFonts w:ascii="宋体" w:hAnsi="宋体" w:cs="宋体"/>
          <w:u w:val="single"/>
        </w:rPr>
      </w:pPr>
      <w:r>
        <w:rPr>
          <w:rFonts w:hint="eastAsia" w:ascii="宋体" w:hAnsi="宋体" w:cs="宋体"/>
        </w:rPr>
        <w:t xml:space="preserve">联系方式：</w:t>
      </w:r>
      <w:bookmarkStart w:id="36" w:name="_Toc28359086"/>
      <w:r/>
      <w:bookmarkStart w:id="37" w:name="_Toc28359009"/>
      <w:r>
        <w:rPr>
          <w:rFonts w:hint="eastAsia" w:ascii="宋体" w:hAnsi="宋体" w:cs="宋体"/>
          <w:u w:val="single"/>
        </w:rPr>
        <w:t xml:space="preserve">13605276007</w:t>
      </w:r>
      <w:r>
        <w:rPr>
          <w:rFonts w:ascii="宋体" w:hAnsi="宋体" w:cs="宋体"/>
          <w:u w:val="single"/>
        </w:rPr>
      </w:r>
      <w:r/>
    </w:p>
    <w:p>
      <w:pPr>
        <w:pStyle w:val="741"/>
        <w:ind w:firstLine="420"/>
        <w:jc w:val="left"/>
        <w:spacing w:line="360" w:lineRule="auto"/>
        <w:rPr>
          <w:rFonts w:ascii="宋体" w:hAnsi="宋体" w:cs="宋体"/>
        </w:rPr>
      </w:pPr>
      <w:r>
        <w:rPr>
          <w:rFonts w:hint="eastAsia" w:ascii="宋体" w:hAnsi="宋体" w:cs="宋体"/>
        </w:rPr>
        <w:t xml:space="preserve">2.代理机构信息</w:t>
      </w:r>
      <w:bookmarkEnd w:id="36"/>
      <w:r/>
      <w:bookmarkEnd w:id="37"/>
      <w:r>
        <w:rPr>
          <w:rFonts w:ascii="宋体" w:hAnsi="宋体" w:cs="宋体"/>
        </w:rPr>
      </w:r>
      <w:r/>
    </w:p>
    <w:p>
      <w:pPr>
        <w:pStyle w:val="741"/>
        <w:ind w:firstLine="420"/>
        <w:jc w:val="left"/>
        <w:spacing w:line="360" w:lineRule="auto"/>
        <w:rPr>
          <w:rFonts w:ascii="宋体" w:hAnsi="宋体" w:cs="宋体"/>
        </w:rPr>
      </w:pPr>
      <w:r/>
      <w:bookmarkStart w:id="38" w:name="_Toc28359010"/>
      <w:r/>
      <w:bookmarkStart w:id="39" w:name="_Toc28359087"/>
      <w:r>
        <w:rPr>
          <w:rFonts w:hint="eastAsia" w:ascii="宋体" w:hAnsi="宋体" w:cs="宋体"/>
        </w:rPr>
        <w:t xml:space="preserve">名称：</w:t>
      </w:r>
      <w:r>
        <w:rPr>
          <w:rFonts w:hint="eastAsia" w:ascii="宋体" w:hAnsi="宋体" w:cs="宋体"/>
          <w:u w:val="single"/>
        </w:rPr>
        <w:t xml:space="preserve">江苏汇诚投资咨询管理有限公司</w:t>
      </w:r>
      <w:r>
        <w:rPr>
          <w:rFonts w:ascii="宋体" w:hAnsi="宋体" w:cs="宋体"/>
        </w:rPr>
      </w:r>
      <w:r/>
    </w:p>
    <w:p>
      <w:pPr>
        <w:pStyle w:val="741"/>
        <w:ind w:firstLine="420"/>
        <w:spacing w:line="360" w:lineRule="auto"/>
        <w:rPr>
          <w:rFonts w:ascii="宋体" w:hAnsi="宋体" w:cs="宋体"/>
        </w:rPr>
      </w:pPr>
      <w:r>
        <w:rPr>
          <w:rFonts w:hint="eastAsia" w:ascii="宋体" w:hAnsi="宋体" w:cs="宋体"/>
        </w:rPr>
        <w:t xml:space="preserve">地　址：</w:t>
      </w:r>
      <w:r>
        <w:rPr>
          <w:rFonts w:hint="eastAsia" w:ascii="宋体" w:hAnsi="宋体" w:cs="宋体"/>
          <w:u w:val="single"/>
        </w:rPr>
        <w:t xml:space="preserve">扬州市</w:t>
      </w:r>
      <w:r>
        <w:rPr>
          <w:rFonts w:ascii="宋体" w:hAnsi="宋体" w:cs="宋体"/>
          <w:u w:val="single"/>
        </w:rPr>
        <w:t xml:space="preserve">邗江北路</w:t>
      </w:r>
      <w:r>
        <w:rPr>
          <w:rFonts w:hint="eastAsia" w:ascii="宋体" w:hAnsi="宋体" w:cs="宋体"/>
          <w:u w:val="single"/>
        </w:rPr>
        <w:t xml:space="preserve">68号3楼西入口</w:t>
      </w:r>
      <w:r>
        <w:rPr>
          <w:rFonts w:ascii="宋体" w:hAnsi="宋体" w:cs="宋体"/>
        </w:rPr>
      </w:r>
      <w:r/>
    </w:p>
    <w:p>
      <w:pPr>
        <w:pStyle w:val="741"/>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秦扬</w:t>
      </w:r>
      <w:r>
        <w:rPr>
          <w:rFonts w:ascii="宋体" w:hAnsi="宋体" w:cs="宋体"/>
        </w:rPr>
      </w:r>
      <w:r/>
    </w:p>
    <w:p>
      <w:pPr>
        <w:pStyle w:val="741"/>
        <w:ind w:firstLine="420"/>
        <w:spacing w:line="360" w:lineRule="auto"/>
        <w:rPr>
          <w:rFonts w:ascii="宋体" w:hAnsi="宋体" w:cs="宋体"/>
          <w:u w:val="single"/>
        </w:rPr>
      </w:pPr>
      <w:r>
        <w:rPr>
          <w:rFonts w:hint="eastAsia" w:ascii="宋体" w:hAnsi="宋体" w:cs="宋体"/>
        </w:rPr>
        <w:t xml:space="preserve">联系方式：</w:t>
      </w:r>
      <w:r>
        <w:rPr>
          <w:rFonts w:hint="eastAsia" w:ascii="宋体" w:hAnsi="宋体" w:cs="宋体"/>
          <w:u w:val="single"/>
        </w:rPr>
        <w:t xml:space="preserve">0514-89787280</w:t>
      </w:r>
      <w:r>
        <w:rPr>
          <w:rFonts w:ascii="宋体" w:hAnsi="宋体" w:cs="宋体"/>
          <w:u w:val="single"/>
        </w:rPr>
      </w:r>
      <w:r/>
    </w:p>
    <w:p>
      <w:pPr>
        <w:pStyle w:val="741"/>
        <w:numPr>
          <w:ilvl w:val="0"/>
          <w:numId w:val="2"/>
        </w:numPr>
        <w:spacing w:line="360" w:lineRule="auto"/>
        <w:tabs>
          <w:tab w:val="left" w:pos="266" w:leader="none"/>
        </w:tabs>
        <w:rPr>
          <w:rFonts w:ascii="宋体" w:hAnsi="宋体" w:cs="宋体"/>
          <w:b/>
          <w:bCs/>
        </w:rPr>
      </w:pPr>
      <w:r>
        <w:rPr>
          <w:rFonts w:hint="eastAsia" w:ascii="宋体" w:hAnsi="宋体" w:cs="宋体"/>
          <w:b/>
          <w:bCs/>
        </w:rPr>
        <w:t xml:space="preserve">落实好政府采购履约资金扶持政策及其他相关政策</w:t>
      </w:r>
      <w:r>
        <w:rPr>
          <w:rFonts w:ascii="宋体" w:hAnsi="宋体" w:cs="宋体"/>
          <w:b/>
          <w:bCs/>
        </w:rPr>
      </w:r>
      <w:r/>
    </w:p>
    <w:p>
      <w:pPr>
        <w:pStyle w:val="741"/>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中标供应商可凭政府采购合同办理融资贷款，详见江苏政府采购网“政采贷”专栏。</w:t>
      </w:r>
      <w:r>
        <w:rPr>
          <w:rFonts w:ascii="宋体" w:hAnsi="宋体" w:cs="宋体"/>
          <w:b/>
          <w:bCs/>
        </w:rPr>
      </w:r>
      <w:r/>
    </w:p>
    <w:p>
      <w:pPr>
        <w:pStyle w:val="741"/>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s="宋体"/>
          <w:b/>
          <w:bCs/>
        </w:rPr>
      </w:r>
      <w:r/>
    </w:p>
    <w:p>
      <w:pPr>
        <w:pStyle w:val="741"/>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严格执行政府采购关于支持</w:t>
      </w:r>
      <w:r>
        <w:rPr>
          <w:rFonts w:hint="eastAsia" w:ascii="宋体" w:hAnsi="宋体" w:cs="宋体"/>
          <w:b/>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
          <w:bCs/>
        </w:rPr>
      </w:r>
      <w:r/>
    </w:p>
    <w:p>
      <w:pPr>
        <w:pStyle w:val="741"/>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bookmarkEnd w:id="38"/>
      <w:r/>
      <w:bookmarkEnd w:id="39"/>
      <w:r>
        <w:rPr>
          <w:rFonts w:ascii="宋体" w:hAnsi="宋体" w:cs="宋体"/>
          <w:b/>
          <w:bCs/>
        </w:rPr>
      </w:r>
      <w:r/>
    </w:p>
    <w:p>
      <w:pPr>
        <w:pStyle w:val="741"/>
        <w:spacing w:line="360" w:lineRule="auto"/>
        <w:rPr>
          <w:rFonts w:ascii="宋体" w:hAnsi="宋体" w:cs="宋体"/>
          <w:b/>
          <w:bCs/>
        </w:rPr>
      </w:pPr>
      <w:r>
        <w:rPr>
          <w:rFonts w:hint="eastAsia" w:ascii="宋体" w:hAnsi="宋体" w:cs="宋体"/>
          <w:b/>
          <w:bCs/>
        </w:rPr>
        <w:t xml:space="preserve">九、其他</w:t>
      </w:r>
      <w:r>
        <w:rPr>
          <w:rFonts w:ascii="宋体" w:hAnsi="宋体" w:cs="宋体"/>
          <w:b/>
          <w:bCs/>
        </w:rPr>
      </w:r>
      <w:r/>
    </w:p>
    <w:p>
      <w:pPr>
        <w:pStyle w:val="741"/>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cs="宋体"/>
          <w:b/>
        </w:rPr>
      </w:r>
      <w:r/>
    </w:p>
    <w:p>
      <w:pPr>
        <w:pStyle w:val="741"/>
        <w:ind w:firstLine="422"/>
        <w:jc w:val="left"/>
        <w:spacing w:line="360" w:lineRule="auto"/>
        <w:widowControl/>
        <w:rPr>
          <w:rFonts w:ascii="宋体" w:hAnsi="宋体" w:cs="宋体"/>
          <w:b/>
        </w:rPr>
      </w:pPr>
      <w:r>
        <w:rPr>
          <w:rFonts w:hint="eastAsia" w:ascii="宋体" w:hAnsi="宋体" w:cs="宋体"/>
          <w:b/>
        </w:rPr>
        <w:t xml:space="preserve">2.供应商如确定参加投标，可自行下载采购文件及有关资料，按照《操作手册》进行注册，领取CA和办理电子签章，并按《操作手册》要求制作、上传电子投标文件，技术支持联系方式：13813140731。</w:t>
      </w:r>
      <w:r>
        <w:rPr>
          <w:rFonts w:ascii="宋体" w:hAnsi="宋体" w:cs="宋体"/>
          <w:b/>
        </w:rPr>
      </w:r>
      <w:r/>
    </w:p>
    <w:p>
      <w:pPr>
        <w:pStyle w:val="741"/>
        <w:ind w:firstLine="422"/>
        <w:jc w:val="left"/>
        <w:spacing w:line="360" w:lineRule="auto"/>
        <w:widowControl/>
        <w:rPr>
          <w:rFonts w:ascii="宋体" w:hAnsi="宋体" w:cs="宋体"/>
          <w:b/>
        </w:rPr>
      </w:pPr>
      <w:r>
        <w:rPr>
          <w:rFonts w:hint="eastAsia" w:ascii="宋体" w:hAnsi="宋体" w:cs="宋体"/>
          <w:b/>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rPr>
          <w:rFonts w:ascii="宋体" w:hAnsi="宋体" w:cs="宋体"/>
          <w:b/>
        </w:rPr>
      </w:r>
      <w:r/>
    </w:p>
    <w:p>
      <w:pPr>
        <w:pStyle w:val="741"/>
        <w:ind w:firstLine="422"/>
        <w:jc w:val="left"/>
        <w:spacing w:line="360" w:lineRule="auto"/>
        <w:widowControl/>
        <w:rPr>
          <w:rFonts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rPr>
          <w:rFonts w:ascii="宋体" w:hAnsi="宋体" w:cs="宋体"/>
          <w:b/>
        </w:rPr>
      </w:r>
      <w:r/>
    </w:p>
    <w:p>
      <w:pPr>
        <w:pStyle w:val="741"/>
        <w:ind w:firstLine="420"/>
        <w:spacing w:line="360" w:lineRule="auto"/>
        <w:rPr>
          <w:rFonts w:ascii="宋体" w:hAnsi="宋体" w:cs="宋体"/>
          <w:bCs/>
          <w:szCs w:val="21"/>
        </w:rPr>
      </w:pPr>
      <w:r>
        <w:rPr>
          <w:rFonts w:hint="eastAsia" w:ascii="宋体" w:hAnsi="宋体" w:cs="宋体"/>
          <w:bCs/>
          <w:szCs w:val="21"/>
        </w:rPr>
        <w:t xml:space="preserve">5.如在开标时间发生系统崩溃等不可预见的情况，造成开评标活动无法正常进行的，将延迟开评标，具体开评标时间另行通知。</w:t>
      </w:r>
      <w:r>
        <w:rPr>
          <w:rFonts w:ascii="宋体" w:hAnsi="宋体" w:cs="宋体"/>
          <w:bCs/>
          <w:szCs w:val="21"/>
        </w:rPr>
      </w:r>
      <w:r/>
    </w:p>
    <w:p>
      <w:pPr>
        <w:pStyle w:val="741"/>
        <w:ind w:firstLine="420"/>
        <w:spacing w:line="360" w:lineRule="auto"/>
        <w:rPr>
          <w:rFonts w:ascii="宋体" w:hAnsi="宋体" w:cs="宋体"/>
          <w:bCs/>
        </w:rPr>
      </w:pPr>
      <w:r>
        <w:rPr>
          <w:rFonts w:hint="eastAsia" w:ascii="宋体" w:hAnsi="宋体"/>
        </w:rPr>
        <w:t xml:space="preserve">6.本次招标不收取投标保证金。</w:t>
      </w:r>
      <w:r>
        <w:rPr>
          <w:rFonts w:ascii="宋体" w:hAnsi="宋体" w:cs="宋体"/>
          <w:bCs/>
        </w:rPr>
      </w:r>
      <w:r/>
    </w:p>
    <w:p>
      <w:pPr>
        <w:pStyle w:val="741"/>
        <w:ind w:firstLine="420"/>
        <w:spacing w:line="360" w:lineRule="auto"/>
        <w:rPr>
          <w:rFonts w:ascii="宋体" w:hAnsi="宋体" w:cs="宋体"/>
          <w:bCs/>
        </w:rPr>
      </w:pPr>
      <w:r>
        <w:rPr>
          <w:rFonts w:hint="eastAsia" w:ascii="宋体" w:hAnsi="宋体"/>
          <w:szCs w:val="21"/>
        </w:rPr>
        <w:t xml:space="preserve">7.</w:t>
      </w:r>
      <w:r>
        <w:rPr>
          <w:rFonts w:hint="eastAsia" w:ascii="宋体" w:hAnsi="宋体" w:cs="宋体"/>
          <w:bCs/>
        </w:rPr>
        <w:t xml:space="preserve">有关本次招标的事项若存在变动或修改，敬请及时关注“扬州市政府采购网”、“江苏省政府采购网”发布的信息。</w:t>
      </w:r>
      <w:r>
        <w:rPr>
          <w:rFonts w:ascii="宋体" w:hAnsi="宋体" w:cs="宋体"/>
          <w:bCs/>
        </w:rPr>
      </w:r>
      <w:r/>
    </w:p>
    <w:p>
      <w:pPr>
        <w:pStyle w:val="741"/>
        <w:ind w:firstLine="422"/>
        <w:spacing w:line="360" w:lineRule="auto"/>
        <w:rPr>
          <w:rFonts w:ascii="宋体" w:hAnsi="宋体" w:cs="宋体"/>
          <w:b/>
          <w:i/>
          <w:iCs/>
          <w:u w:val="single"/>
        </w:rPr>
      </w:pPr>
      <w:r>
        <w:rPr>
          <w:rFonts w:hint="eastAsia" w:ascii="宋体" w:hAnsi="宋体" w:cs="宋体"/>
          <w:b/>
          <w:i/>
          <w:iCs/>
          <w:u w:val="single"/>
        </w:rPr>
        <w:t xml:space="preserve">8.本项目招标文件中所有斜体下划线部分为实质性条款，如不满足，则为无效投标。</w:t>
      </w:r>
      <w:r>
        <w:rPr>
          <w:rFonts w:ascii="宋体" w:hAnsi="宋体" w:cs="宋体"/>
          <w:b/>
          <w:i/>
          <w:iCs/>
          <w:u w:val="single"/>
        </w:rPr>
      </w:r>
      <w:r/>
    </w:p>
    <w:p>
      <w:pPr>
        <w:pStyle w:val="741"/>
        <w:spacing w:line="360" w:lineRule="auto"/>
      </w:pPr>
      <w:r>
        <w:br w:type="page" w:clear="all"/>
      </w:r>
      <w:r/>
    </w:p>
    <w:p>
      <w:pPr>
        <w:pStyle w:val="742"/>
        <w:jc w:val="center"/>
        <w:spacing w:line="360" w:lineRule="auto"/>
        <w:rPr>
          <w:rFonts w:ascii="宋体" w:hAnsi="宋体"/>
          <w:szCs w:val="36"/>
        </w:rPr>
      </w:pPr>
      <w:r/>
      <w:bookmarkStart w:id="40" w:name="_Toc191970190"/>
      <w:r/>
      <w:bookmarkStart w:id="41" w:name="_Toc55204178"/>
      <w:r>
        <w:rPr>
          <w:rFonts w:hint="eastAsia" w:ascii="宋体" w:hAnsi="宋体"/>
          <w:szCs w:val="36"/>
        </w:rPr>
        <w:t xml:space="preserve">第二章 投标人须知</w:t>
      </w:r>
      <w:bookmarkEnd w:id="40"/>
      <w:r/>
      <w:bookmarkEnd w:id="41"/>
      <w:r>
        <w:rPr>
          <w:rFonts w:ascii="宋体" w:hAnsi="宋体"/>
          <w:szCs w:val="36"/>
        </w:rPr>
      </w:r>
      <w:r/>
    </w:p>
    <w:p>
      <w:pPr>
        <w:pStyle w:val="741"/>
        <w:ind w:firstLine="422"/>
        <w:spacing w:line="360" w:lineRule="auto"/>
        <w:rPr>
          <w:rFonts w:ascii="宋体" w:hAnsi="宋体"/>
          <w:b/>
          <w:szCs w:val="21"/>
        </w:rPr>
      </w:pPr>
      <w:r>
        <w:rPr>
          <w:rFonts w:hint="eastAsia" w:ascii="宋体" w:hAnsi="宋体"/>
          <w:b/>
          <w:szCs w:val="21"/>
        </w:rPr>
        <w:t xml:space="preserve">1、招标方式</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本次招标采取公开招标方式，本招标文件仅适用于JSZC-321000-HCZX-G2025-00</w:t>
      </w:r>
      <w:r>
        <w:rPr>
          <w:rFonts w:hint="eastAsia" w:ascii="宋体" w:hAnsi="宋体"/>
          <w:bCs/>
          <w:szCs w:val="21"/>
          <w:lang w:val="en-US" w:eastAsia="zh-CN"/>
        </w:rPr>
        <w:t xml:space="preserve">91</w:t>
      </w:r>
      <w:r>
        <w:rPr>
          <w:rFonts w:hint="eastAsia" w:ascii="宋体" w:hAnsi="宋体"/>
          <w:bCs/>
          <w:szCs w:val="21"/>
        </w:rPr>
        <w:t xml:space="preserve">号项目。</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741"/>
        <w:ind w:firstLine="420"/>
        <w:spacing w:line="360" w:lineRule="auto"/>
      </w:pPr>
      <w:r>
        <w:t xml:space="preserve">4.1 投标人应自行承担所有与参加投标有关的费用，无论投标过程中的做法和结果如 何，代理机构在任何情况下均无义务和责任承担这些费用。 </w:t>
      </w:r>
      <w:r/>
    </w:p>
    <w:p>
      <w:pPr>
        <w:pStyle w:val="741"/>
        <w:ind w:firstLine="420"/>
        <w:spacing w:line="360" w:lineRule="auto"/>
      </w:pPr>
      <w:r>
        <w:t xml:space="preserve">4.</w:t>
      </w:r>
      <w:r>
        <w:rPr>
          <w:rFonts w:hint="eastAsia"/>
        </w:rPr>
        <w:t xml:space="preserve">2</w:t>
      </w:r>
      <w:r>
        <w:rPr>
          <w:rFonts w:hint="eastAsia" w:ascii="宋体" w:hAnsi="宋体" w:cs="宋体"/>
        </w:rPr>
        <w:t xml:space="preserve">本次采购由成交供应商在领取成交通知书前缴纳代理服务费。代理服务费按照国家计委印发的《招标代理服务收费管理暂行办法》(计价格【2002】1980 号文)货物类的标准收取。</w:t>
      </w:r>
      <w:r/>
    </w:p>
    <w:p>
      <w:pPr>
        <w:pStyle w:val="741"/>
        <w:ind w:firstLine="420"/>
        <w:spacing w:line="360" w:lineRule="auto"/>
      </w:pPr>
      <w:r>
        <w:t xml:space="preserve">（1）代理服务费以人民币支付； </w:t>
      </w:r>
      <w:r/>
    </w:p>
    <w:p>
      <w:pPr>
        <w:pStyle w:val="741"/>
        <w:ind w:firstLine="420"/>
        <w:spacing w:line="360" w:lineRule="auto"/>
      </w:pPr>
      <w:r>
        <w:t xml:space="preserve">（2）代理服务费一次性以电汇、转账等非现金形式支付； </w:t>
      </w:r>
      <w:r/>
    </w:p>
    <w:p>
      <w:pPr>
        <w:pStyle w:val="741"/>
        <w:ind w:firstLine="420"/>
        <w:spacing w:line="360" w:lineRule="auto"/>
      </w:pPr>
      <w:r>
        <w:t xml:space="preserve">（3）招标代理服务费不在投标报价中单列，包含在投标总价中，由中标单位支付给代理机构。 </w:t>
      </w:r>
      <w:r/>
    </w:p>
    <w:p>
      <w:pPr>
        <w:pStyle w:val="741"/>
        <w:ind w:firstLine="420"/>
        <w:spacing w:line="360" w:lineRule="auto"/>
      </w:pPr>
      <w:r>
        <w:t xml:space="preserve">招标代理服务费开户银行： </w:t>
      </w:r>
      <w:r/>
    </w:p>
    <w:p>
      <w:pPr>
        <w:pStyle w:val="741"/>
        <w:ind w:right="366" w:firstLine="420"/>
        <w:jc w:val="left"/>
        <w:spacing w:line="440" w:lineRule="exact"/>
        <w:rPr>
          <w:rFonts w:ascii="Times New Roman" w:hAnsi="Times New Roman"/>
        </w:rPr>
      </w:pPr>
      <w:r>
        <w:rPr>
          <w:rFonts w:ascii="Times New Roman" w:hAnsi="Times New Roman"/>
        </w:rPr>
        <w:t xml:space="preserve">开户名称：江苏汇诚投资咨询管理有限公司</w:t>
      </w:r>
      <w:r>
        <w:rPr>
          <w:rFonts w:ascii="Times New Roman" w:hAnsi="Times New Roman"/>
        </w:rPr>
      </w:r>
      <w:r/>
    </w:p>
    <w:p>
      <w:pPr>
        <w:pStyle w:val="741"/>
        <w:ind w:right="366" w:firstLine="420"/>
        <w:jc w:val="left"/>
        <w:spacing w:line="440" w:lineRule="exact"/>
        <w:rPr>
          <w:rFonts w:ascii="Times New Roman" w:hAnsi="Times New Roman"/>
        </w:rPr>
      </w:pPr>
      <w:r>
        <w:rPr>
          <w:rFonts w:ascii="Times New Roman" w:hAnsi="Times New Roman"/>
        </w:rPr>
        <w:t xml:space="preserve">开户行:中信银行扬州邗江支行</w:t>
      </w:r>
      <w:r>
        <w:rPr>
          <w:rFonts w:ascii="Times New Roman" w:hAnsi="Times New Roman"/>
        </w:rPr>
      </w:r>
      <w:r/>
    </w:p>
    <w:p>
      <w:pPr>
        <w:pStyle w:val="741"/>
        <w:ind w:right="366" w:firstLine="420"/>
        <w:jc w:val="left"/>
        <w:spacing w:line="440" w:lineRule="exact"/>
      </w:pPr>
      <w:r>
        <w:rPr>
          <w:rFonts w:ascii="Times New Roman" w:hAnsi="Times New Roman"/>
        </w:rPr>
        <w:t xml:space="preserve">帐号:7328410182600010543</w:t>
      </w:r>
      <w:r/>
    </w:p>
    <w:p>
      <w:pPr>
        <w:pStyle w:val="741"/>
        <w:ind w:firstLine="420"/>
        <w:spacing w:line="360" w:lineRule="auto"/>
      </w:pPr>
      <w:r>
        <w:t xml:space="preserve">4.</w:t>
      </w:r>
      <w:r>
        <w:rPr>
          <w:rFonts w:hint="eastAsia"/>
        </w:rPr>
        <w:t xml:space="preserve">3</w:t>
      </w:r>
      <w:r>
        <w:t xml:space="preserve">专家评审费按扬财购【2020】40 号文《关于</w:t>
      </w:r>
      <w:r>
        <w:rPr>
          <w:rFonts w:hint="eastAsia"/>
        </w:rPr>
        <w:t xml:space="preserve">进一步</w:t>
      </w:r>
      <w:r>
        <w:t xml:space="preserve">规范扬州市政府采购专家评审费标准的通知》执行。</w:t>
      </w:r>
      <w:r/>
    </w:p>
    <w:p>
      <w:pPr>
        <w:pStyle w:val="741"/>
        <w:ind w:firstLine="422"/>
        <w:spacing w:line="360" w:lineRule="auto"/>
        <w:rPr>
          <w:rFonts w:ascii="宋体" w:hAnsi="宋体"/>
          <w:b/>
          <w:szCs w:val="21"/>
        </w:rPr>
      </w:pPr>
      <w:r>
        <w:rPr>
          <w:rFonts w:hint="eastAsia" w:ascii="宋体" w:hAnsi="宋体"/>
          <w:b/>
          <w:szCs w:val="21"/>
        </w:rPr>
        <w:t xml:space="preserve">5、招标文件的约束力</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6、招标文件构成</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6.1 招标文件有以下部分组成：</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7、招标文件的澄清</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8、招标文件的修改</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8.3招标文件的修改将在</w:t>
      </w:r>
      <w:r>
        <w:rPr>
          <w:rFonts w:hint="eastAsia" w:ascii="宋体" w:hAnsi="宋体" w:cs="宋体"/>
          <w:bCs/>
        </w:rPr>
        <w:t xml:space="preserve">“扬州市政府采购网”、“江苏省政府采购网”</w:t>
      </w:r>
      <w:r>
        <w:rPr>
          <w:rFonts w:hint="eastAsia" w:ascii="宋体" w:hAnsi="宋体"/>
          <w:bCs/>
          <w:szCs w:val="21"/>
        </w:rPr>
        <w:t xml:space="preserve">公布，补充文件将作为招标文件的组成部分，并对投标人具有约束力。</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741"/>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rPr>
          <w:rFonts w:ascii="宋体" w:hAnsi="宋体"/>
          <w:bCs/>
          <w:szCs w:val="21"/>
        </w:rPr>
      </w:r>
      <w:r/>
    </w:p>
    <w:p>
      <w:pPr>
        <w:pStyle w:val="741"/>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12、投标配置与分项报价表</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741"/>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szCs w:val="21"/>
        </w:rPr>
      </w:r>
      <w:r/>
    </w:p>
    <w:p>
      <w:pPr>
        <w:pStyle w:val="741"/>
        <w:ind w:firstLine="422"/>
        <w:spacing w:line="360" w:lineRule="auto"/>
        <w:rPr>
          <w:rFonts w:ascii="宋体" w:hAnsi="宋体"/>
          <w:b/>
          <w:szCs w:val="21"/>
        </w:rPr>
      </w:pPr>
      <w:r/>
      <w:bookmarkStart w:id="42" w:name="_Toc462564084"/>
      <w:r/>
      <w:bookmarkStart w:id="43" w:name="_Toc20823297"/>
      <w:r/>
      <w:bookmarkStart w:id="44" w:name="_Toc16938541"/>
      <w:r/>
      <w:bookmarkStart w:id="45" w:name="_Toc513029225"/>
      <w:r>
        <w:rPr>
          <w:rFonts w:hint="eastAsia" w:ascii="宋体" w:hAnsi="宋体"/>
          <w:b/>
          <w:szCs w:val="21"/>
        </w:rPr>
        <w:t xml:space="preserve">17、投标文件</w:t>
      </w:r>
      <w:bookmarkEnd w:id="42"/>
      <w:r/>
      <w:bookmarkEnd w:id="43"/>
      <w:r/>
      <w:bookmarkEnd w:id="44"/>
      <w:r/>
      <w:bookmarkEnd w:id="45"/>
      <w:r>
        <w:rPr>
          <w:rFonts w:hint="eastAsia" w:ascii="宋体" w:hAnsi="宋体"/>
          <w:b/>
          <w:szCs w:val="21"/>
        </w:rPr>
        <w:t xml:space="preserve">的递交</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6" w:name="_Toc513029226"/>
      <w:r/>
      <w:bookmarkStart w:id="47" w:name="_Toc20823298"/>
      <w:r/>
      <w:bookmarkStart w:id="48" w:name="_Toc16938542"/>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ascii="宋体" w:hAnsi="宋体"/>
          <w:b/>
          <w:szCs w:val="21"/>
        </w:rPr>
      </w:r>
      <w:r/>
    </w:p>
    <w:p>
      <w:pPr>
        <w:pStyle w:val="741"/>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741"/>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rPr>
          <w:rFonts w:ascii="宋体" w:hAnsi="宋体"/>
          <w:b/>
          <w:szCs w:val="21"/>
        </w:rPr>
      </w:r>
      <w:r/>
    </w:p>
    <w:p>
      <w:pPr>
        <w:pStyle w:val="741"/>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rPr>
          <w:rFonts w:ascii="宋体" w:hAnsi="宋体"/>
          <w:b/>
          <w:szCs w:val="21"/>
        </w:rPr>
      </w:r>
      <w:r/>
    </w:p>
    <w:p>
      <w:pPr>
        <w:pStyle w:val="741"/>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rPr>
          <w:rFonts w:ascii="宋体" w:hAnsi="宋体"/>
          <w:b/>
          <w:szCs w:val="21"/>
        </w:rPr>
      </w:r>
      <w:r/>
    </w:p>
    <w:p>
      <w:pPr>
        <w:pStyle w:val="741"/>
        <w:ind w:firstLine="422"/>
        <w:spacing w:line="360" w:lineRule="auto"/>
      </w:pPr>
      <w:r>
        <w:rPr>
          <w:rFonts w:hint="eastAsia" w:ascii="宋体" w:hAnsi="宋体"/>
          <w:b/>
          <w:szCs w:val="21"/>
        </w:rPr>
        <w:t xml:space="preserve">17.7各投标人应在规定时间内凭CA证书进行网上解密。</w:t>
      </w:r>
      <w:r/>
    </w:p>
    <w:p>
      <w:pPr>
        <w:pStyle w:val="741"/>
        <w:ind w:firstLine="422"/>
        <w:spacing w:line="360" w:lineRule="auto"/>
        <w:rPr>
          <w:rFonts w:ascii="宋体" w:hAnsi="宋体"/>
          <w:b/>
          <w:szCs w:val="21"/>
        </w:rPr>
      </w:pPr>
      <w:r>
        <w:rPr>
          <w:rFonts w:hint="eastAsia" w:ascii="宋体" w:hAnsi="宋体"/>
          <w:b/>
          <w:szCs w:val="21"/>
        </w:rPr>
        <w:t xml:space="preserve">18、投标截止日期</w:t>
      </w:r>
      <w:bookmarkEnd w:id="46"/>
      <w:r/>
      <w:bookmarkEnd w:id="47"/>
      <w:r/>
      <w:bookmarkEnd w:id="48"/>
      <w:r>
        <w:rPr>
          <w:rFonts w:ascii="宋体" w:hAnsi="宋体"/>
          <w:b/>
          <w:szCs w:val="21"/>
        </w:rPr>
      </w:r>
      <w:r/>
    </w:p>
    <w:p>
      <w:pPr>
        <w:pStyle w:val="741"/>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741"/>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szCs w:val="21"/>
        </w:rPr>
      </w:r>
      <w:r/>
    </w:p>
    <w:p>
      <w:pPr>
        <w:pStyle w:val="741"/>
        <w:ind w:firstLine="422"/>
        <w:spacing w:line="360" w:lineRule="auto"/>
        <w:rPr>
          <w:rFonts w:ascii="宋体" w:hAnsi="宋体"/>
          <w:b/>
          <w:szCs w:val="21"/>
        </w:rPr>
      </w:pPr>
      <w:r/>
      <w:bookmarkStart w:id="49" w:name="_Toc20823299"/>
      <w:r/>
      <w:bookmarkStart w:id="50" w:name="_Toc513029227"/>
      <w:r/>
      <w:bookmarkStart w:id="51" w:name="_Toc16938543"/>
      <w:r>
        <w:rPr>
          <w:rFonts w:hint="eastAsia" w:ascii="宋体" w:hAnsi="宋体"/>
          <w:b/>
          <w:szCs w:val="21"/>
        </w:rPr>
        <w:t xml:space="preserve">19、投标文件</w:t>
      </w:r>
      <w:bookmarkEnd w:id="49"/>
      <w:r/>
      <w:bookmarkEnd w:id="50"/>
      <w:r/>
      <w:bookmarkEnd w:id="51"/>
      <w:r>
        <w:rPr>
          <w:rFonts w:hint="eastAsia" w:ascii="宋体" w:hAnsi="宋体"/>
          <w:b/>
          <w:szCs w:val="21"/>
        </w:rPr>
        <w:t xml:space="preserve">的拒收</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741"/>
        <w:ind w:firstLine="422"/>
        <w:spacing w:line="360" w:lineRule="auto"/>
        <w:rPr>
          <w:rFonts w:ascii="宋体" w:hAnsi="宋体"/>
          <w:b/>
          <w:szCs w:val="21"/>
        </w:rPr>
      </w:pPr>
      <w:r/>
      <w:bookmarkStart w:id="52" w:name="_Toc513029228"/>
      <w:r/>
      <w:bookmarkStart w:id="53" w:name="_Toc16938544"/>
      <w:r/>
      <w:bookmarkStart w:id="54" w:name="_Toc20823300"/>
      <w:r>
        <w:rPr>
          <w:rFonts w:hint="eastAsia" w:ascii="宋体" w:hAnsi="宋体"/>
          <w:b/>
          <w:szCs w:val="21"/>
        </w:rPr>
        <w:t xml:space="preserve">20、投标文件的撤回和修改</w:t>
      </w:r>
      <w:bookmarkEnd w:id="52"/>
      <w:r/>
      <w:bookmarkEnd w:id="53"/>
      <w:r/>
      <w:bookmarkEnd w:id="54"/>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rPr>
          <w:rFonts w:ascii="宋体" w:hAnsi="宋体"/>
          <w:bCs/>
          <w:szCs w:val="21"/>
        </w:rPr>
      </w:r>
      <w:r/>
    </w:p>
    <w:p>
      <w:pPr>
        <w:pStyle w:val="741"/>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741"/>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741"/>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741"/>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741"/>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26、无效投标、废标及投标人不足三家的处理</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本项目采购产品被财政部、国家发改委、生态环境部等列入“节能产品品目清单”强制采购范围，而投标人所投标产品不在强制采购范围内的。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27.3代理机构将在</w:t>
      </w:r>
      <w:r>
        <w:rPr>
          <w:rFonts w:hint="eastAsia" w:ascii="宋体" w:hAnsi="宋体" w:cs="宋体"/>
          <w:bCs/>
        </w:rPr>
        <w:t xml:space="preserve">“扬州市政府采购网”、“江苏省政府采购网”</w:t>
      </w:r>
      <w:r>
        <w:rPr>
          <w:rFonts w:hint="eastAsia" w:ascii="宋体" w:hAnsi="宋体"/>
          <w:bCs/>
          <w:szCs w:val="21"/>
        </w:rPr>
        <w:t xml:space="preserve">发布中标公告，公告期限为1个工作日。</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type="textWrapping" w:clear="all"/>
      </w:r>
      <w:r>
        <w:rPr>
          <w:rFonts w:hint="eastAsia" w:ascii="宋体" w:hAnsi="宋体"/>
          <w:bCs/>
          <w:szCs w:val="21"/>
        </w:rPr>
        <w:t xml:space="preserve">    28.2.2对采购过程提出质疑的，为各采购程序环节结束之日起7个工作日内提出。</w:t>
      </w:r>
      <w:r>
        <w:rPr>
          <w:rFonts w:hint="eastAsia" w:ascii="宋体" w:hAnsi="宋体"/>
          <w:bCs/>
          <w:szCs w:val="21"/>
        </w:rPr>
        <w:br w:type="textWrapping" w:clear="all"/>
      </w:r>
      <w:r>
        <w:rPr>
          <w:rFonts w:hint="eastAsia" w:ascii="宋体" w:hAnsi="宋体"/>
          <w:bCs/>
          <w:szCs w:val="21"/>
        </w:rPr>
        <w:t xml:space="preserve">    28.2.3对中标结果提出质疑的，为中标结果公告期限届满之日起7个工作日内提出。</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741"/>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741"/>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szCs w:val="21"/>
        </w:rPr>
      </w:r>
      <w:r/>
    </w:p>
    <w:p>
      <w:pPr>
        <w:pStyle w:val="741"/>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741"/>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ascii="宋体" w:hAnsi="宋体"/>
          <w:b/>
          <w:szCs w:val="21"/>
        </w:rPr>
      </w:r>
      <w:r/>
    </w:p>
    <w:p>
      <w:pPr>
        <w:pStyle w:val="741"/>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rPr>
          <w:rFonts w:ascii="宋体" w:hAnsi="宋体"/>
          <w:b/>
          <w:szCs w:val="21"/>
        </w:rPr>
      </w:r>
      <w:r/>
    </w:p>
    <w:p>
      <w:pPr>
        <w:pStyle w:val="741"/>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rPr>
          <w:rFonts w:ascii="宋体" w:hAnsi="宋体"/>
          <w:b/>
          <w:szCs w:val="21"/>
        </w:rPr>
      </w:r>
      <w:r/>
    </w:p>
    <w:p>
      <w:pPr>
        <w:pStyle w:val="741"/>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rPr>
          <w:rFonts w:ascii="宋体" w:hAnsi="宋体"/>
          <w:b/>
          <w:szCs w:val="21"/>
        </w:rPr>
      </w:r>
      <w:r/>
    </w:p>
    <w:p>
      <w:pPr>
        <w:pStyle w:val="741"/>
        <w:numPr>
          <w:ilvl w:val="0"/>
          <w:numId w:val="4"/>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rPr>
          <w:rFonts w:ascii="宋体" w:hAnsi="宋体"/>
          <w:b/>
          <w:szCs w:val="21"/>
        </w:rPr>
      </w:r>
      <w:r/>
    </w:p>
    <w:p>
      <w:pPr>
        <w:pStyle w:val="741"/>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rPr>
          <w:rFonts w:ascii="宋体" w:hAnsi="宋体"/>
          <w:b/>
          <w:szCs w:val="21"/>
        </w:rPr>
      </w:r>
      <w:r/>
    </w:p>
    <w:p>
      <w:pPr>
        <w:pStyle w:val="741"/>
        <w:ind w:firstLine="422"/>
        <w:spacing w:line="360" w:lineRule="auto"/>
      </w:pPr>
      <w:r>
        <w:rPr>
          <w:rFonts w:hint="eastAsia" w:ascii="宋体" w:hAnsi="宋体"/>
          <w:b/>
          <w:szCs w:val="21"/>
        </w:rPr>
        <w:t xml:space="preserve">32.2各投标人应在规定时间内凭CA证书进行网上解密。</w:t>
      </w:r>
      <w:r/>
    </w:p>
    <w:p>
      <w:pPr>
        <w:pStyle w:val="741"/>
        <w:ind w:firstLine="422"/>
        <w:spacing w:line="360" w:lineRule="auto"/>
        <w:rPr>
          <w:rFonts w:ascii="宋体" w:hAnsi="宋体"/>
          <w:bCs/>
          <w:szCs w:val="21"/>
        </w:rPr>
      </w:pPr>
      <w:r>
        <w:rPr>
          <w:b/>
          <w:bCs/>
        </w:rPr>
        <w:t xml:space="preserve">3</w:t>
      </w:r>
      <w:r>
        <w:rPr>
          <w:rFonts w:hint="eastAsia"/>
          <w:b/>
          <w:bCs/>
        </w:rPr>
        <w:t xml:space="preserve">3、其他</w:t>
      </w:r>
      <w:r>
        <w:br w:type="textWrapping" w:clear="all"/>
      </w:r>
      <w:r>
        <w:t xml:space="preserve">    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741"/>
        <w:ind w:firstLine="420"/>
        <w:spacing w:line="360" w:lineRule="auto"/>
      </w:pPr>
      <w:r>
        <w:rPr>
          <w:rFonts w:hint="eastAsia" w:ascii="宋体" w:hAnsi="宋体"/>
          <w:bCs/>
          <w:szCs w:val="21"/>
        </w:rPr>
        <w:br w:type="page" w:clear="all"/>
      </w:r>
      <w:r/>
    </w:p>
    <w:p>
      <w:pPr>
        <w:pStyle w:val="742"/>
        <w:jc w:val="center"/>
        <w:spacing w:line="360" w:lineRule="auto"/>
        <w:rPr>
          <w:rFonts w:ascii="宋体" w:hAnsi="宋体"/>
          <w:szCs w:val="36"/>
        </w:rPr>
      </w:pPr>
      <w:r/>
      <w:bookmarkStart w:id="55" w:name="_Toc191970191"/>
      <w:r/>
      <w:bookmarkStart w:id="56" w:name="_Toc55204179"/>
      <w:r/>
      <w:bookmarkStart w:id="57" w:name="_Hlk69392822"/>
      <w:r>
        <w:rPr>
          <w:rFonts w:hint="eastAsia" w:ascii="宋体" w:hAnsi="宋体"/>
          <w:szCs w:val="36"/>
        </w:rPr>
        <w:t xml:space="preserve">第三章 合同条款及格式</w:t>
      </w:r>
      <w:bookmarkEnd w:id="55"/>
      <w:r/>
      <w:bookmarkEnd w:id="56"/>
      <w:r>
        <w:rPr>
          <w:rFonts w:ascii="宋体" w:hAnsi="宋体"/>
          <w:szCs w:val="36"/>
        </w:rPr>
      </w:r>
      <w:r/>
    </w:p>
    <w:p>
      <w:pPr>
        <w:pStyle w:val="770"/>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rPr>
          <w:rFonts w:hAnsi="宋体"/>
          <w:sz w:val="21"/>
        </w:rPr>
      </w:r>
      <w:r/>
    </w:p>
    <w:p>
      <w:pPr>
        <w:pStyle w:val="951"/>
        <w:ind w:firstLine="422"/>
        <w:jc w:val="center"/>
        <w:spacing w:before="120" w:after="120" w:line="360" w:lineRule="auto"/>
        <w:rPr>
          <w:rFonts w:hAnsi="宋体"/>
          <w:b/>
          <w:bCs/>
          <w:color w:val="000000"/>
          <w:sz w:val="21"/>
        </w:rPr>
      </w:pPr>
      <w:r>
        <w:rPr>
          <w:rFonts w:hint="eastAsia" w:hAnsi="宋体"/>
          <w:b/>
          <w:bCs/>
          <w:color w:val="000000"/>
          <w:sz w:val="21"/>
        </w:rPr>
        <w:t xml:space="preserve">扬州市政府采购合同（货物)（合同编号）（包号）</w:t>
      </w:r>
      <w:r>
        <w:rPr>
          <w:rFonts w:hAnsi="宋体"/>
          <w:b/>
          <w:bCs/>
          <w:color w:val="000000"/>
          <w:sz w:val="21"/>
        </w:rPr>
      </w:r>
      <w:r/>
    </w:p>
    <w:p>
      <w:pPr>
        <w:pStyle w:val="951"/>
        <w:ind w:firstLine="420"/>
        <w:spacing w:before="120" w:after="120" w:line="360" w:lineRule="auto"/>
        <w:rPr>
          <w:rFonts w:hAnsi="宋体"/>
          <w:color w:val="000000"/>
          <w:sz w:val="21"/>
        </w:rPr>
      </w:pPr>
      <w:r>
        <w:rPr>
          <w:rFonts w:hint="eastAsia" w:hAnsi="宋体"/>
          <w:color w:val="000000"/>
          <w:sz w:val="21"/>
        </w:rPr>
        <w:t xml:space="preserve">项目名称：扬州市公安局公安交通管理综合应用平台社会化服务系统升级改造项目            </w:t>
      </w:r>
      <w:r>
        <w:rPr>
          <w:rFonts w:hAnsi="宋体"/>
          <w:color w:val="000000"/>
          <w:sz w:val="21"/>
        </w:rPr>
      </w:r>
      <w:r/>
    </w:p>
    <w:p>
      <w:pPr>
        <w:pStyle w:val="951"/>
        <w:ind w:firstLine="420"/>
        <w:spacing w:before="120" w:after="120" w:line="360" w:lineRule="auto"/>
        <w:rPr>
          <w:rFonts w:hAnsi="宋体" w:eastAsia="宋体"/>
          <w:color w:val="000000"/>
          <w:sz w:val="21"/>
          <w:lang w:val="en-US" w:eastAsia="zh-CN"/>
        </w:rPr>
      </w:pPr>
      <w:r>
        <w:rPr>
          <w:rFonts w:hint="eastAsia" w:hAnsi="宋体"/>
          <w:color w:val="000000"/>
          <w:sz w:val="21"/>
        </w:rPr>
        <w:t xml:space="preserve">项目编号：JSZC-321000-HCZX-G2025-00</w:t>
      </w:r>
      <w:r>
        <w:rPr>
          <w:rFonts w:hint="eastAsia" w:hAnsi="宋体"/>
          <w:color w:val="000000"/>
          <w:sz w:val="21"/>
          <w:lang w:val="en-US" w:eastAsia="zh-CN"/>
        </w:rPr>
        <w:t xml:space="preserve">91</w:t>
      </w:r>
      <w:r>
        <w:rPr>
          <w:rFonts w:hAnsi="宋体" w:eastAsia="宋体"/>
          <w:color w:val="000000"/>
          <w:sz w:val="21"/>
          <w:lang w:val="en-US" w:eastAsia="zh-CN"/>
        </w:rPr>
      </w:r>
      <w:r/>
    </w:p>
    <w:p>
      <w:pPr>
        <w:pStyle w:val="951"/>
        <w:ind w:firstLine="420"/>
        <w:spacing w:before="120" w:after="120" w:line="360" w:lineRule="auto"/>
        <w:rPr>
          <w:rFonts w:hAnsi="宋体"/>
          <w:color w:val="000000"/>
          <w:sz w:val="21"/>
        </w:rPr>
      </w:pPr>
      <w:r>
        <w:rPr>
          <w:rFonts w:hint="eastAsia" w:hAnsi="宋体"/>
          <w:color w:val="000000"/>
          <w:sz w:val="21"/>
        </w:rPr>
        <w:t xml:space="preserve">甲方：（买方）扬州市公安局</w:t>
      </w:r>
      <w:r>
        <w:rPr>
          <w:rFonts w:hAnsi="宋体"/>
          <w:color w:val="000000"/>
          <w:sz w:val="21"/>
        </w:rPr>
      </w:r>
      <w:r/>
    </w:p>
    <w:p>
      <w:pPr>
        <w:pStyle w:val="951"/>
        <w:ind w:firstLine="420"/>
        <w:spacing w:before="120" w:after="120" w:line="360" w:lineRule="auto"/>
        <w:rPr>
          <w:rFonts w:hAnsi="宋体"/>
          <w:color w:val="000000"/>
          <w:sz w:val="21"/>
        </w:rPr>
      </w:pPr>
      <w:r>
        <w:rPr>
          <w:rFonts w:hint="eastAsia" w:hAnsi="宋体"/>
          <w:color w:val="000000"/>
          <w:sz w:val="21"/>
        </w:rPr>
        <w:t xml:space="preserve">乙方：（卖方）_________</w:t>
      </w:r>
      <w:r>
        <w:rPr>
          <w:rFonts w:hAnsi="宋体"/>
          <w:color w:val="000000"/>
          <w:sz w:val="21"/>
        </w:rPr>
      </w:r>
      <w:r/>
    </w:p>
    <w:p>
      <w:pPr>
        <w:pStyle w:val="951"/>
        <w:ind w:firstLine="420"/>
        <w:spacing w:before="120" w:after="120" w:line="360" w:lineRule="auto"/>
        <w:rPr>
          <w:rFonts w:hAnsi="宋体"/>
          <w:color w:val="000000"/>
          <w:sz w:val="21"/>
        </w:rPr>
      </w:pPr>
      <w:r>
        <w:rPr>
          <w:rFonts w:hint="eastAsia" w:hAnsi="宋体"/>
          <w:color w:val="000000"/>
          <w:sz w:val="21"/>
        </w:rPr>
        <w:t xml:space="preserve">见证方：江苏汇诚投资咨询管理有限公司</w:t>
      </w:r>
      <w:r>
        <w:rPr>
          <w:rFonts w:hAnsi="宋体"/>
          <w:color w:val="000000"/>
          <w:sz w:val="21"/>
        </w:rPr>
      </w:r>
      <w:r/>
    </w:p>
    <w:p>
      <w:pPr>
        <w:pStyle w:val="951"/>
        <w:ind w:firstLine="420"/>
        <w:spacing w:before="120" w:after="120" w:line="360" w:lineRule="auto"/>
        <w:rPr>
          <w:rFonts w:hAnsi="宋体"/>
          <w:color w:val="000000"/>
          <w:sz w:val="21"/>
        </w:rPr>
      </w:pPr>
      <w:r>
        <w:rPr>
          <w:rFonts w:hint="eastAsia" w:hAnsi="宋体"/>
          <w:color w:val="000000"/>
          <w:sz w:val="21"/>
        </w:rPr>
        <w:t xml:space="preserve">甲、乙双方根据江苏汇诚投资咨询管理有限公司</w:t>
      </w:r>
      <w:r>
        <w:rPr>
          <w:rFonts w:hint="eastAsia" w:hAnsi="宋体"/>
          <w:color w:val="000000"/>
          <w:sz w:val="21"/>
          <w:u w:val="single"/>
        </w:rPr>
        <w:t xml:space="preserve">         </w:t>
      </w:r>
      <w:r>
        <w:rPr>
          <w:rFonts w:hint="eastAsia" w:hAnsi="宋体"/>
          <w:color w:val="000000"/>
          <w:sz w:val="21"/>
        </w:rPr>
        <w:t xml:space="preserve">项目公开招标的结果，签署本合同。</w:t>
      </w:r>
      <w:r>
        <w:rPr>
          <w:rFonts w:hAnsi="宋体"/>
          <w:color w:val="000000"/>
          <w:sz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一、</w:t>
      </w:r>
      <w:r>
        <w:rPr>
          <w:rFonts w:hint="eastAsia" w:hAnsi="宋体" w:cs="宋体"/>
          <w:b/>
          <w:bCs/>
          <w:sz w:val="21"/>
        </w:rPr>
        <w:t xml:space="preserve">货物及伴随服务</w:t>
      </w:r>
      <w:r>
        <w:rPr>
          <w:rFonts w:hAnsi="宋体"/>
          <w:b/>
          <w:bCs/>
          <w:color w:val="000000"/>
          <w:sz w:val="21"/>
        </w:rPr>
      </w:r>
      <w:r/>
    </w:p>
    <w:p>
      <w:pPr>
        <w:pStyle w:val="770"/>
        <w:ind w:firstLine="420"/>
        <w:spacing w:before="120" w:after="120" w:line="360" w:lineRule="auto"/>
        <w:rPr>
          <w:rFonts w:hAnsi="宋体" w:cs="宋体"/>
          <w:sz w:val="21"/>
        </w:rPr>
      </w:pPr>
      <w:r>
        <w:rPr>
          <w:rFonts w:hint="eastAsia" w:hAnsi="宋体" w:cs="宋体"/>
          <w:sz w:val="21"/>
        </w:rPr>
        <w:t xml:space="preserve">1.1 货物及服务名称：</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1.2 型号规格：</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1.3 数量（单位）</w:t>
      </w:r>
      <w:r>
        <w:rPr>
          <w:rFonts w:hAnsi="宋体" w:cs="宋体"/>
          <w:sz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二、合同金额</w:t>
      </w:r>
      <w:r>
        <w:rPr>
          <w:rFonts w:hAnsi="宋体"/>
          <w:b/>
          <w:bCs/>
          <w:color w:val="000000"/>
          <w:sz w:val="21"/>
        </w:rPr>
      </w:r>
      <w:r/>
    </w:p>
    <w:p>
      <w:pPr>
        <w:pStyle w:val="951"/>
        <w:ind w:firstLine="420"/>
        <w:spacing w:before="120" w:after="120" w:line="360" w:lineRule="auto"/>
        <w:rPr>
          <w:rFonts w:hAnsi="宋体"/>
          <w:color w:val="000000"/>
          <w:sz w:val="21"/>
        </w:rPr>
      </w:pPr>
      <w:r>
        <w:rPr>
          <w:rFonts w:hint="eastAsia" w:hAnsi="宋体"/>
          <w:color w:val="000000"/>
          <w:sz w:val="21"/>
        </w:rPr>
        <w:t xml:space="preserve">2.1 </w:t>
      </w:r>
      <w:r>
        <w:rPr>
          <w:rFonts w:hint="eastAsia" w:ascii="Times New Roman" w:hAnsi="Times New Roman"/>
          <w:color w:val="000000"/>
          <w:sz w:val="21"/>
        </w:rPr>
        <w:t xml:space="preserve">本合同金额为（大写）：____________________________________圆（_______________元）人民币。</w:t>
      </w:r>
      <w:r>
        <w:rPr>
          <w:rFonts w:hAnsi="宋体"/>
          <w:color w:val="000000"/>
          <w:sz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三、技术资料</w:t>
      </w:r>
      <w:r>
        <w:rPr>
          <w:rFonts w:hAnsi="宋体"/>
          <w:b/>
          <w:bCs/>
          <w:color w:val="000000"/>
          <w:sz w:val="21"/>
        </w:rPr>
      </w:r>
      <w:r/>
    </w:p>
    <w:p>
      <w:pPr>
        <w:pStyle w:val="770"/>
        <w:ind w:firstLine="420"/>
        <w:spacing w:before="120" w:after="120" w:line="360" w:lineRule="auto"/>
        <w:rPr>
          <w:rFonts w:hAnsi="宋体" w:cs="宋体"/>
          <w:sz w:val="21"/>
        </w:rPr>
      </w:pPr>
      <w:r>
        <w:rPr>
          <w:rFonts w:hint="eastAsia" w:hAnsi="宋体" w:cs="宋体"/>
          <w:sz w:val="21"/>
        </w:rPr>
        <w:t xml:space="preserve">3.1乙方应按招标文件规定的时间向甲方提供使用货物及服务的有关技术资料。</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s="宋体"/>
          <w:sz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四、知识产权</w:t>
      </w:r>
      <w:r>
        <w:rPr>
          <w:rFonts w:hAnsi="宋体"/>
          <w:b/>
          <w:bCs/>
          <w:color w:val="000000"/>
          <w:sz w:val="21"/>
        </w:rPr>
      </w:r>
      <w:r/>
    </w:p>
    <w:p>
      <w:pPr>
        <w:pStyle w:val="770"/>
        <w:ind w:firstLine="420"/>
        <w:spacing w:before="120" w:after="120" w:line="360" w:lineRule="auto"/>
        <w:rPr>
          <w:rFonts w:hAnsi="宋体" w:cs="宋体"/>
          <w:sz w:val="21"/>
        </w:rPr>
      </w:pPr>
      <w:r>
        <w:rPr>
          <w:rFonts w:hint="eastAsia" w:hAnsi="宋体" w:cs="宋体"/>
          <w:sz w:val="21"/>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cs="宋体"/>
          <w:sz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五、产权担保</w:t>
      </w:r>
      <w:r>
        <w:rPr>
          <w:rFonts w:hAnsi="宋体"/>
          <w:b/>
          <w:bCs/>
          <w:color w:val="000000"/>
          <w:sz w:val="21"/>
        </w:rPr>
      </w:r>
      <w:r/>
    </w:p>
    <w:p>
      <w:pPr>
        <w:pStyle w:val="770"/>
        <w:ind w:firstLine="420"/>
        <w:spacing w:before="120" w:after="120" w:line="360" w:lineRule="auto"/>
        <w:rPr>
          <w:rFonts w:hAnsi="宋体" w:cs="宋体"/>
          <w:sz w:val="21"/>
        </w:rPr>
      </w:pPr>
      <w:r>
        <w:rPr>
          <w:rFonts w:hint="eastAsia" w:hAnsi="宋体" w:cs="宋体"/>
          <w:sz w:val="21"/>
        </w:rPr>
        <w:t xml:space="preserve">5.1 乙方保证所交付的货物及服务的所有权完全属于乙方且无任何抵押、查封等产权瑕疵。</w:t>
      </w:r>
      <w:r>
        <w:rPr>
          <w:rFonts w:hAnsi="宋体" w:cs="宋体"/>
          <w:sz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六、履约保证金</w:t>
      </w:r>
      <w:r>
        <w:rPr>
          <w:rFonts w:hAnsi="宋体"/>
          <w:b/>
          <w:bCs/>
          <w:color w:val="000000"/>
          <w:sz w:val="21"/>
        </w:rPr>
      </w:r>
      <w:r/>
    </w:p>
    <w:p>
      <w:pPr>
        <w:pStyle w:val="770"/>
        <w:ind w:firstLine="420"/>
        <w:spacing w:before="120" w:after="120" w:line="360" w:lineRule="auto"/>
        <w:rPr>
          <w:rFonts w:hAnsi="宋体" w:cs="宋体"/>
          <w:sz w:val="21"/>
        </w:rPr>
      </w:pPr>
      <w:r>
        <w:rPr>
          <w:rFonts w:hint="eastAsia" w:hAnsi="宋体" w:cs="宋体"/>
          <w:sz w:val="21"/>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6.4 履约保证金收取：</w:t>
      </w:r>
      <w:r>
        <w:rPr>
          <w:rFonts w:hint="eastAsia" w:hAnsi="宋体" w:cs="宋体"/>
          <w:sz w:val="21"/>
          <w:u w:val="single"/>
        </w:rPr>
        <w:t xml:space="preserve">无</w:t>
      </w:r>
      <w:r>
        <w:rPr>
          <w:rFonts w:hAnsi="宋体" w:cs="宋体"/>
          <w:sz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七、转包或分包</w:t>
      </w:r>
      <w:r>
        <w:rPr>
          <w:rFonts w:hAnsi="宋体"/>
          <w:b/>
          <w:bCs/>
          <w:color w:val="000000"/>
          <w:sz w:val="21"/>
        </w:rPr>
      </w:r>
      <w:r/>
    </w:p>
    <w:p>
      <w:pPr>
        <w:pStyle w:val="770"/>
        <w:ind w:firstLine="420"/>
        <w:spacing w:before="120" w:after="120" w:line="360" w:lineRule="auto"/>
        <w:rPr>
          <w:rFonts w:hAnsi="宋体" w:cs="宋体"/>
          <w:sz w:val="21"/>
        </w:rPr>
      </w:pPr>
      <w:r>
        <w:rPr>
          <w:rFonts w:hint="eastAsia" w:hAnsi="宋体" w:cs="宋体"/>
          <w:sz w:val="21"/>
        </w:rPr>
        <w:t xml:space="preserve">7.1本合同范围的货物及服务，应由乙方直接供应，不得转让他人供应；</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7.2 除非得到甲方的书面同意，乙方不得部分分包给他人供应。</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7.3如有转让和未经甲方同意的分包行为，甲方有权给予终止合同。</w:t>
      </w:r>
      <w:r>
        <w:rPr>
          <w:rFonts w:hAnsi="宋体" w:cs="宋体"/>
          <w:sz w:val="21"/>
        </w:rPr>
      </w:r>
      <w:r/>
    </w:p>
    <w:p>
      <w:pPr>
        <w:pStyle w:val="770"/>
        <w:ind w:firstLine="422"/>
        <w:spacing w:before="120" w:after="120" w:line="360" w:lineRule="auto"/>
        <w:rPr>
          <w:rFonts w:hAnsi="宋体" w:cs="宋体"/>
          <w:b/>
          <w:bCs/>
          <w:sz w:val="21"/>
        </w:rPr>
      </w:pPr>
      <w:r>
        <w:rPr>
          <w:rFonts w:hint="eastAsia" w:hAnsi="宋体" w:cs="宋体"/>
          <w:b/>
          <w:bCs/>
          <w:sz w:val="21"/>
        </w:rPr>
        <w:t xml:space="preserve">八、质保期</w:t>
      </w:r>
      <w:r>
        <w:rPr>
          <w:rFonts w:hAnsi="宋体" w:cs="宋体"/>
          <w:b/>
          <w:bCs/>
          <w:sz w:val="21"/>
        </w:rPr>
      </w:r>
      <w:r/>
    </w:p>
    <w:p>
      <w:pPr>
        <w:pStyle w:val="770"/>
        <w:ind w:firstLine="420"/>
        <w:spacing w:before="120" w:after="120" w:line="360" w:lineRule="auto"/>
        <w:rPr>
          <w:rFonts w:hAnsi="宋体" w:cs="宋体"/>
          <w:sz w:val="21"/>
        </w:rPr>
      </w:pPr>
      <w:r>
        <w:rPr>
          <w:rFonts w:hint="eastAsia" w:hAnsi="宋体" w:cs="宋体"/>
          <w:sz w:val="21"/>
        </w:rPr>
        <w:t xml:space="preserve">8.1 质保期</w:t>
      </w:r>
      <w:r>
        <w:rPr>
          <w:rFonts w:hint="eastAsia" w:hAnsi="宋体" w:cs="宋体"/>
          <w:sz w:val="21"/>
          <w:u w:val="single"/>
        </w:rPr>
        <w:t xml:space="preserve">      </w:t>
      </w:r>
      <w:r>
        <w:rPr>
          <w:rFonts w:hint="eastAsia" w:hAnsi="宋体" w:cs="宋体"/>
          <w:sz w:val="21"/>
        </w:rPr>
        <w:t xml:space="preserve">年。（自交货验收合格之日起计）</w:t>
      </w:r>
      <w:r>
        <w:rPr>
          <w:rFonts w:hAnsi="宋体" w:cs="宋体"/>
          <w:sz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九、交付期、交付方式及交付地点</w:t>
      </w:r>
      <w:r>
        <w:rPr>
          <w:rFonts w:hAnsi="宋体"/>
          <w:b/>
          <w:bCs/>
          <w:color w:val="000000"/>
          <w:sz w:val="21"/>
        </w:rPr>
      </w:r>
      <w:r/>
    </w:p>
    <w:p>
      <w:pPr>
        <w:pStyle w:val="770"/>
        <w:ind w:firstLine="420"/>
        <w:spacing w:before="120" w:after="120" w:line="360" w:lineRule="auto"/>
        <w:rPr>
          <w:rFonts w:hAnsi="宋体" w:cs="宋体"/>
          <w:sz w:val="21"/>
        </w:rPr>
      </w:pPr>
      <w:r>
        <w:rPr>
          <w:rFonts w:hint="eastAsia" w:hAnsi="宋体" w:cs="宋体"/>
          <w:sz w:val="21"/>
        </w:rPr>
        <w:t xml:space="preserve">9.1 交付期：</w:t>
      </w:r>
      <w:r>
        <w:rPr>
          <w:rFonts w:hint="eastAsia" w:hAnsi="宋体" w:cs="宋体"/>
          <w:sz w:val="21"/>
          <w:u w:val="single"/>
        </w:rPr>
        <w:t xml:space="preserve">                 </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9.2 交付方式：</w:t>
      </w:r>
      <w:r>
        <w:rPr>
          <w:rFonts w:hint="eastAsia" w:hAnsi="宋体" w:cs="宋体"/>
          <w:bCs/>
          <w:sz w:val="21"/>
          <w:u w:val="single"/>
        </w:rPr>
        <w:t xml:space="preserve">               </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9.3 交付地点：</w:t>
      </w:r>
      <w:r>
        <w:rPr>
          <w:rFonts w:hint="eastAsia" w:hAnsi="宋体" w:cs="宋体"/>
          <w:bCs/>
          <w:sz w:val="21"/>
          <w:u w:val="single"/>
        </w:rPr>
        <w:t xml:space="preserve">                </w:t>
      </w:r>
      <w:r>
        <w:rPr>
          <w:rFonts w:hAnsi="宋体" w:cs="宋体"/>
          <w:sz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十、货款支付</w:t>
      </w:r>
      <w:r>
        <w:rPr>
          <w:rFonts w:hAnsi="宋体"/>
          <w:b/>
          <w:bCs/>
          <w:color w:val="000000"/>
          <w:sz w:val="21"/>
        </w:rPr>
      </w:r>
      <w:r/>
    </w:p>
    <w:p>
      <w:pPr>
        <w:pStyle w:val="741"/>
        <w:ind w:firstLine="420"/>
        <w:spacing w:line="360" w:lineRule="auto"/>
        <w:rPr>
          <w:rFonts w:ascii="宋体" w:hAnsi="宋体" w:cs="宋体"/>
          <w:szCs w:val="21"/>
        </w:rPr>
      </w:pPr>
      <w:r>
        <w:rPr>
          <w:rFonts w:hint="eastAsia" w:ascii="宋体" w:hAnsi="宋体" w:cs="宋体"/>
          <w:szCs w:val="21"/>
        </w:rPr>
        <w:t xml:space="preserve">10.1 本合同项下所有款项均以人民币支付。 </w:t>
      </w:r>
      <w:r>
        <w:rPr>
          <w:rFonts w:ascii="宋体" w:hAnsi="宋体" w:cs="宋体"/>
          <w:szCs w:val="21"/>
        </w:rPr>
      </w:r>
      <w:r/>
    </w:p>
    <w:p>
      <w:pPr>
        <w:pStyle w:val="741"/>
        <w:ind w:firstLine="420"/>
        <w:spacing w:line="360" w:lineRule="auto"/>
        <w:rPr>
          <w:rFonts w:ascii="宋体" w:hAnsi="宋体" w:cs="宋体"/>
          <w:szCs w:val="21"/>
        </w:rPr>
      </w:pPr>
      <w:r>
        <w:rPr>
          <w:rFonts w:hint="eastAsia" w:ascii="宋体" w:hAnsi="宋体" w:cs="宋体"/>
          <w:szCs w:val="21"/>
        </w:rPr>
        <w:t xml:space="preserve">10.2 本合同项下的采购资金由甲方支付，付款前乙方向甲方开具发票。</w:t>
      </w:r>
      <w:r>
        <w:rPr>
          <w:rFonts w:ascii="宋体" w:hAnsi="宋体" w:cs="宋体"/>
          <w:szCs w:val="21"/>
        </w:rPr>
      </w:r>
      <w:r/>
    </w:p>
    <w:p>
      <w:pPr>
        <w:pStyle w:val="741"/>
        <w:ind w:firstLine="420"/>
        <w:spacing w:line="360" w:lineRule="auto"/>
        <w:rPr>
          <w:rFonts w:ascii="宋体" w:hAnsi="宋体" w:cs="宋体"/>
          <w:szCs w:val="21"/>
        </w:rPr>
      </w:pPr>
      <w:r>
        <w:rPr>
          <w:rFonts w:hint="eastAsia" w:ascii="宋体" w:hAnsi="宋体" w:cs="宋体"/>
          <w:szCs w:val="21"/>
        </w:rPr>
        <w:t xml:space="preserve">10.3 甲方付款方式：签订合同后乙方向甲方开具发票，甲方自收到发票之日起10个工作日内支付合同金额30%的预付款；项目验收合格后，乙方向甲方开具发票，甲方自收到发票之日起10个工作日内支付合同金额的70%。</w:t>
      </w:r>
      <w:r>
        <w:rPr>
          <w:rFonts w:ascii="宋体" w:hAnsi="宋体" w:cs="宋体"/>
          <w:szCs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十一、税费</w:t>
      </w:r>
      <w:r>
        <w:rPr>
          <w:rFonts w:hAnsi="宋体"/>
          <w:b/>
          <w:bCs/>
          <w:color w:val="000000"/>
          <w:sz w:val="21"/>
        </w:rPr>
      </w:r>
      <w:r/>
    </w:p>
    <w:p>
      <w:pPr>
        <w:pStyle w:val="770"/>
        <w:ind w:firstLine="420"/>
        <w:spacing w:before="120" w:after="120" w:line="360" w:lineRule="auto"/>
        <w:rPr>
          <w:rFonts w:hAnsi="宋体" w:cs="宋体"/>
          <w:sz w:val="21"/>
        </w:rPr>
      </w:pPr>
      <w:r>
        <w:rPr>
          <w:rFonts w:hint="eastAsia" w:hAnsi="宋体" w:cs="宋体"/>
          <w:sz w:val="21"/>
        </w:rPr>
        <w:t xml:space="preserve">11.1本合同执行中相关的一切税费均由乙方负担。</w:t>
      </w:r>
      <w:r>
        <w:rPr>
          <w:rFonts w:hAnsi="宋体" w:cs="宋体"/>
          <w:sz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十二、质量保证及售后服务</w:t>
      </w:r>
      <w:r>
        <w:rPr>
          <w:rFonts w:hAnsi="宋体"/>
          <w:b/>
          <w:bCs/>
          <w:color w:val="000000"/>
          <w:sz w:val="21"/>
        </w:rPr>
      </w:r>
      <w:r/>
    </w:p>
    <w:p>
      <w:pPr>
        <w:pStyle w:val="770"/>
        <w:ind w:firstLine="420"/>
        <w:spacing w:before="120" w:after="120" w:line="360" w:lineRule="auto"/>
        <w:rPr>
          <w:rFonts w:hAnsi="宋体" w:cs="宋体"/>
          <w:sz w:val="21"/>
        </w:rPr>
      </w:pPr>
      <w:r>
        <w:rPr>
          <w:rFonts w:hint="eastAsia" w:hAnsi="宋体" w:cs="宋体"/>
          <w:sz w:val="21"/>
        </w:rPr>
        <w:t xml:space="preserve">12.1 乙方应按招标文件规定的货物及服务性能、技术要求、质量标准向甲方提供。</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12.2 乙方提供的货物及服务在质量期内因服务及产品本身的质量问题发生故障，乙方应负责免费更换。对达不到技术要求者，根据实际情况，经双方协商，可按以下办法处理：</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⑴更换：由乙方承担所发生的全部费用。</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⑵贬值处理：由甲乙双方合议定价。</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⑶退还处理：乙方应退还甲方支付的合同款，同时应承担该货物及服务的直接费用（运输、保险、检验、款项利息及银行手续费等）。</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12.3 如在使用过程中发生质量问题，乙方在接到甲方通知后在</w:t>
      </w:r>
      <w:r>
        <w:rPr>
          <w:rFonts w:hint="eastAsia" w:hAnsi="宋体" w:cs="宋体"/>
          <w:sz w:val="21"/>
          <w:u w:val="single"/>
        </w:rPr>
        <w:t xml:space="preserve">1</w:t>
      </w:r>
      <w:r>
        <w:rPr>
          <w:rFonts w:hint="eastAsia" w:hAnsi="宋体" w:cs="宋体"/>
          <w:sz w:val="21"/>
        </w:rPr>
        <w:t xml:space="preserve">小时内到达甲方现场。</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12.4 在质保期内，乙方应对货物及服务出现的质量及安全问题负责处理解决并承担一切费用。</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12.5上述的货物及服务免费保修期为 </w:t>
      </w:r>
      <w:r>
        <w:rPr>
          <w:rFonts w:hint="eastAsia" w:hAnsi="宋体" w:cs="宋体"/>
          <w:sz w:val="21"/>
          <w:u w:val="single"/>
        </w:rPr>
        <w:t xml:space="preserve">      </w:t>
      </w:r>
      <w:r>
        <w:rPr>
          <w:rFonts w:hint="eastAsia" w:hAnsi="宋体" w:cs="宋体"/>
          <w:sz w:val="21"/>
        </w:rPr>
        <w:t xml:space="preserve">年，因人为因素出现的故障不在免费保修范围内。超过保修期的机器设备，终身维修，维修时只收部件成本费。</w:t>
      </w:r>
      <w:r>
        <w:rPr>
          <w:rFonts w:hAnsi="宋体" w:cs="宋体"/>
          <w:sz w:val="21"/>
        </w:rPr>
      </w:r>
      <w:r/>
    </w:p>
    <w:p>
      <w:pPr>
        <w:pStyle w:val="770"/>
        <w:ind w:firstLine="422"/>
        <w:spacing w:before="120" w:after="120" w:line="360" w:lineRule="auto"/>
        <w:rPr>
          <w:rFonts w:hAnsi="宋体" w:cs="宋体"/>
          <w:b/>
          <w:bCs/>
          <w:sz w:val="21"/>
        </w:rPr>
      </w:pPr>
      <w:r>
        <w:rPr>
          <w:rFonts w:hint="eastAsia" w:hAnsi="宋体" w:cs="宋体"/>
          <w:b/>
          <w:bCs/>
          <w:sz w:val="21"/>
        </w:rPr>
        <w:t xml:space="preserve">十三、调试和验收</w:t>
      </w:r>
      <w:r>
        <w:rPr>
          <w:rFonts w:hAnsi="宋体" w:cs="宋体"/>
          <w:b/>
          <w:bCs/>
          <w:sz w:val="21"/>
        </w:rPr>
      </w:r>
      <w:r/>
    </w:p>
    <w:p>
      <w:pPr>
        <w:pStyle w:val="770"/>
        <w:ind w:firstLine="420"/>
        <w:spacing w:before="120" w:after="120" w:line="360" w:lineRule="auto"/>
        <w:rPr>
          <w:rFonts w:hAnsi="宋体" w:cs="宋体"/>
          <w:sz w:val="21"/>
        </w:rPr>
      </w:pPr>
      <w:r>
        <w:rPr>
          <w:rFonts w:hint="eastAsia" w:hAnsi="宋体" w:cs="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13.2 乙方交付前应对货物及服务作出全面检查和对验收文件进行整理，并列出清单，作为甲方交付验收和使用的技术条件依据，检验的结果应随货物及服务交甲方。</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13.3 甲方对乙方提供的货物及服务在使用前进行调试时，乙方需负责安装并培训甲方的使用操作人员，并协助甲方一起调试，直到符合技术要求，甲方才做最终验收。</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13.4 对技术复杂的货物及服务，甲方可请国家认可的专业检测机构参与初步验收及最终验收，并由其出具质量检测报告。</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13.5 验收时乙方必须在现场，验收完毕后作出验收结果报告；验收费用由甲乙双方协商解决。</w:t>
      </w:r>
      <w:r>
        <w:rPr>
          <w:rFonts w:hAnsi="宋体" w:cs="宋体"/>
          <w:sz w:val="21"/>
        </w:rPr>
      </w:r>
      <w:r/>
    </w:p>
    <w:p>
      <w:pPr>
        <w:pStyle w:val="770"/>
        <w:ind w:firstLine="422"/>
        <w:spacing w:before="120" w:after="120" w:line="360" w:lineRule="auto"/>
        <w:rPr>
          <w:rFonts w:hAnsi="宋体" w:cs="宋体"/>
          <w:b/>
          <w:bCs/>
          <w:sz w:val="21"/>
        </w:rPr>
      </w:pPr>
      <w:r>
        <w:rPr>
          <w:rFonts w:hint="eastAsia" w:hAnsi="宋体" w:cs="宋体"/>
          <w:b/>
          <w:bCs/>
          <w:sz w:val="21"/>
        </w:rPr>
        <w:t xml:space="preserve">十四、货物及服务包装、发运及运输</w:t>
      </w:r>
      <w:r>
        <w:rPr>
          <w:rFonts w:hAnsi="宋体" w:cs="宋体"/>
          <w:b/>
          <w:bCs/>
          <w:sz w:val="21"/>
        </w:rPr>
      </w:r>
      <w:r/>
    </w:p>
    <w:p>
      <w:pPr>
        <w:pStyle w:val="770"/>
        <w:ind w:firstLine="420"/>
        <w:spacing w:before="120" w:after="120" w:line="360" w:lineRule="auto"/>
        <w:rPr>
          <w:rFonts w:hAnsi="宋体" w:cs="宋体"/>
          <w:sz w:val="21"/>
        </w:rPr>
      </w:pPr>
      <w:r>
        <w:rPr>
          <w:rFonts w:hint="eastAsia" w:hAnsi="宋体" w:cs="宋体"/>
          <w:sz w:val="21"/>
        </w:rPr>
        <w:t xml:space="preserve">14.1 乙方应在货物及服务发运前对其进行满足运输距离、防潮、防震、防锈和防破损装卸等要求包装，以保证货物及服务安全运达甲方指定地点。</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14.2 使用说明书、质量检验证明书、随配附件和工具以及清单一并交付甲方。</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14.3 乙方在货物及服务发运手续办理完毕后24小时内或交付到甲方48小时前通知甲方，以准备接受交付。</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14.4 货物在交付甲方前发生的风险均由乙方负责。</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14.5 货物及服务在规定的交付期限内由乙方送达甲方指定的地点视为交付，乙方同时需通知甲方货物及服务已送达。</w:t>
      </w:r>
      <w:r>
        <w:rPr>
          <w:rFonts w:hAnsi="宋体" w:cs="宋体"/>
          <w:sz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十五、违约责任</w:t>
      </w:r>
      <w:r>
        <w:rPr>
          <w:rFonts w:hAnsi="宋体"/>
          <w:b/>
          <w:bCs/>
          <w:color w:val="000000"/>
          <w:sz w:val="21"/>
        </w:rPr>
      </w:r>
      <w:r/>
    </w:p>
    <w:p>
      <w:pPr>
        <w:pStyle w:val="770"/>
        <w:ind w:firstLine="420"/>
        <w:spacing w:before="120" w:after="120" w:line="360" w:lineRule="auto"/>
        <w:rPr>
          <w:rFonts w:hAnsi="宋体" w:cs="宋体"/>
          <w:sz w:val="21"/>
        </w:rPr>
      </w:pPr>
      <w:r>
        <w:rPr>
          <w:rFonts w:hint="eastAsia" w:hAnsi="宋体" w:cs="宋体"/>
          <w:sz w:val="21"/>
        </w:rPr>
        <w:t xml:space="preserve">15.1 甲方无正当理由拒收货物及服务的，甲方向乙方偿付拒收款项总值的百分之五违约金。</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15.2 甲方无故逾期验收和办理款项支付手续的,甲方应按逾期付款总额每日万分之五向乙方支付违约金。</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rFonts w:hAnsi="宋体" w:cs="宋体"/>
          <w:sz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十六、不可抗力事件处理</w:t>
      </w:r>
      <w:r>
        <w:rPr>
          <w:rFonts w:hAnsi="宋体"/>
          <w:b/>
          <w:bCs/>
          <w:color w:val="000000"/>
          <w:sz w:val="21"/>
        </w:rPr>
      </w:r>
      <w:r/>
    </w:p>
    <w:p>
      <w:pPr>
        <w:pStyle w:val="770"/>
        <w:ind w:firstLine="420"/>
        <w:spacing w:before="120" w:after="120" w:line="360" w:lineRule="auto"/>
        <w:rPr>
          <w:rFonts w:hAnsi="宋体" w:cs="宋体"/>
          <w:sz w:val="21"/>
        </w:rPr>
      </w:pPr>
      <w:r>
        <w:rPr>
          <w:rFonts w:hint="eastAsia" w:hAnsi="宋体" w:cs="宋体"/>
          <w:sz w:val="21"/>
        </w:rPr>
        <w:t xml:space="preserve">16.1 在合同有效期内，任何一方因不可抗力事件导致不能履行合同，则合同履行期可延长，其延长期与不可抗力影响期相同。</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16.2 不可抗力事件发生后，应立即通知对方，并寄送有关权威机构出具的证明。</w:t>
      </w:r>
      <w:r>
        <w:rPr>
          <w:rFonts w:hAnsi="宋体" w:cs="宋体"/>
          <w:sz w:val="21"/>
        </w:rPr>
      </w:r>
      <w:r/>
    </w:p>
    <w:p>
      <w:pPr>
        <w:pStyle w:val="770"/>
        <w:ind w:firstLine="420"/>
        <w:spacing w:before="120" w:after="120" w:line="360" w:lineRule="auto"/>
        <w:rPr>
          <w:rFonts w:hAnsi="宋体" w:cs="宋体"/>
          <w:sz w:val="21"/>
        </w:rPr>
      </w:pPr>
      <w:r>
        <w:rPr>
          <w:rFonts w:hint="eastAsia" w:hAnsi="宋体" w:cs="宋体"/>
          <w:sz w:val="21"/>
        </w:rPr>
        <w:t xml:space="preserve">16.3 不可抗力事件延续120天以上，双方应通过友好协商，确定是否继续履行合同。</w:t>
      </w:r>
      <w:r>
        <w:rPr>
          <w:rFonts w:hAnsi="宋体" w:cs="宋体"/>
          <w:sz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十七、诉讼</w:t>
      </w:r>
      <w:r>
        <w:rPr>
          <w:rFonts w:hAnsi="宋体"/>
          <w:b/>
          <w:bCs/>
          <w:color w:val="000000"/>
          <w:sz w:val="21"/>
        </w:rPr>
      </w:r>
      <w:r/>
    </w:p>
    <w:p>
      <w:pPr>
        <w:pStyle w:val="770"/>
        <w:ind w:firstLine="420"/>
        <w:spacing w:before="120" w:after="120" w:line="360" w:lineRule="auto"/>
        <w:rPr>
          <w:rFonts w:hAnsi="宋体" w:cs="宋体"/>
          <w:sz w:val="21"/>
        </w:rPr>
      </w:pPr>
      <w:r>
        <w:rPr>
          <w:rFonts w:hint="eastAsia" w:hAnsi="宋体" w:cs="宋体"/>
          <w:sz w:val="21"/>
        </w:rPr>
        <w:t xml:space="preserve">17.1 双方在执行合同中所发生的一切争议，应通过协商解决。如协商不成，可向合同签订地法院起诉，合同签订地在此约定为扬州市。</w:t>
      </w:r>
      <w:r>
        <w:rPr>
          <w:rFonts w:hAnsi="宋体" w:cs="宋体"/>
          <w:sz w:val="21"/>
        </w:rPr>
      </w:r>
      <w:r/>
    </w:p>
    <w:p>
      <w:pPr>
        <w:pStyle w:val="741"/>
        <w:ind w:firstLine="422"/>
        <w:spacing w:line="360" w:lineRule="auto"/>
        <w:rPr>
          <w:rFonts w:hAnsi="宋体"/>
          <w:color w:val="000000"/>
          <w:szCs w:val="21"/>
        </w:rPr>
      </w:pPr>
      <w:r>
        <w:rPr>
          <w:rFonts w:hint="eastAsia" w:ascii="宋体" w:hAnsi="宋体"/>
          <w:b/>
          <w:bCs/>
          <w:color w:val="000000"/>
          <w:szCs w:val="21"/>
        </w:rPr>
        <w:t xml:space="preserve">十八、</w:t>
      </w:r>
      <w:r>
        <w:rPr>
          <w:rFonts w:hint="eastAsia" w:ascii="宋体" w:hAnsi="宋体" w:cs="宋体"/>
          <w:bCs/>
          <w:color w:val="000000"/>
        </w:rPr>
        <w:t xml:space="preserve">为落实好政府采购履约资金扶持政策，乙方可凭政府采购合同办理融资贷款，详见江苏政府采购网“政采贷”专栏。</w:t>
      </w:r>
      <w:r>
        <w:rPr>
          <w:rFonts w:hAnsi="宋体"/>
          <w:color w:val="000000"/>
          <w:szCs w:val="21"/>
        </w:rPr>
      </w:r>
      <w:r/>
    </w:p>
    <w:p>
      <w:pPr>
        <w:pStyle w:val="951"/>
        <w:ind w:firstLine="422"/>
        <w:spacing w:before="120" w:after="120" w:line="360" w:lineRule="auto"/>
        <w:rPr>
          <w:rFonts w:hAnsi="宋体"/>
          <w:b/>
          <w:bCs/>
          <w:color w:val="000000"/>
          <w:sz w:val="21"/>
        </w:rPr>
      </w:pPr>
      <w:r>
        <w:rPr>
          <w:rFonts w:hint="eastAsia" w:hAnsi="宋体"/>
          <w:b/>
          <w:bCs/>
          <w:color w:val="000000"/>
          <w:sz w:val="21"/>
        </w:rPr>
        <w:t xml:space="preserve">十九、合同生效及其它</w:t>
      </w:r>
      <w:r>
        <w:rPr>
          <w:rFonts w:hAnsi="宋体"/>
          <w:b/>
          <w:bCs/>
          <w:color w:val="000000"/>
          <w:sz w:val="21"/>
        </w:rPr>
      </w:r>
      <w:r/>
    </w:p>
    <w:p>
      <w:pPr>
        <w:pStyle w:val="951"/>
        <w:ind w:firstLine="420"/>
        <w:spacing w:before="120" w:after="120" w:line="360" w:lineRule="auto"/>
        <w:rPr>
          <w:rFonts w:hAnsi="宋体"/>
          <w:color w:val="000000"/>
          <w:sz w:val="21"/>
        </w:rPr>
      </w:pPr>
      <w:r>
        <w:rPr>
          <w:rFonts w:hint="eastAsia" w:hAnsi="宋体"/>
          <w:color w:val="000000"/>
          <w:sz w:val="21"/>
        </w:rPr>
        <w:t xml:space="preserve">19.1 合同经双方法定代表人签章并加盖单位公章，并经江苏汇诚投资咨询管理有限公司见证盖章后生效。</w:t>
      </w:r>
      <w:r>
        <w:rPr>
          <w:rFonts w:hAnsi="宋体"/>
          <w:color w:val="000000"/>
          <w:sz w:val="21"/>
        </w:rPr>
      </w:r>
      <w:r/>
    </w:p>
    <w:p>
      <w:pPr>
        <w:pStyle w:val="951"/>
        <w:ind w:firstLine="420"/>
        <w:spacing w:before="120" w:after="120" w:line="360" w:lineRule="auto"/>
        <w:rPr>
          <w:rFonts w:hAnsi="宋体"/>
          <w:color w:val="000000"/>
          <w:sz w:val="21"/>
        </w:rPr>
      </w:pPr>
      <w:r>
        <w:rPr>
          <w:rFonts w:hint="eastAsia" w:hAnsi="宋体"/>
          <w:color w:val="000000"/>
          <w:sz w:val="21"/>
        </w:rPr>
        <w:t xml:space="preserve">19.2本合同未尽事宜，遵照《民法典》有关条文执行。</w:t>
      </w:r>
      <w:r>
        <w:rPr>
          <w:rFonts w:hAnsi="宋体"/>
          <w:color w:val="000000"/>
          <w:sz w:val="21"/>
        </w:rPr>
      </w:r>
      <w:r/>
    </w:p>
    <w:p>
      <w:pPr>
        <w:pStyle w:val="951"/>
        <w:ind w:firstLine="420"/>
        <w:spacing w:before="120" w:after="120" w:line="360" w:lineRule="auto"/>
        <w:rPr>
          <w:rFonts w:hAnsi="宋体"/>
          <w:color w:val="000000"/>
          <w:sz w:val="21"/>
        </w:rPr>
      </w:pPr>
      <w:r>
        <w:rPr>
          <w:rFonts w:hint="eastAsia" w:hAnsi="宋体"/>
          <w:color w:val="000000"/>
          <w:sz w:val="21"/>
        </w:rPr>
        <w:t xml:space="preserve">19.3 本合同正本一式四份，具有同等法律效力，甲方、乙方、见证方及财政监管部门各执一份。  </w:t>
      </w:r>
      <w:r>
        <w:rPr>
          <w:rFonts w:hAnsi="宋体"/>
          <w:color w:val="000000"/>
          <w:sz w:val="21"/>
        </w:rPr>
      </w:r>
      <w:r/>
    </w:p>
    <w:p>
      <w:pPr>
        <w:pStyle w:val="951"/>
        <w:ind w:firstLine="420"/>
        <w:spacing w:before="120" w:after="120" w:line="360" w:lineRule="auto"/>
        <w:rPr>
          <w:rFonts w:hAnsi="宋体"/>
          <w:color w:val="000000"/>
          <w:sz w:val="21"/>
        </w:rPr>
      </w:pPr>
      <w:r>
        <w:rPr>
          <w:rFonts w:hAnsi="宋体"/>
          <w:color w:val="000000"/>
          <w:sz w:val="21"/>
        </w:rPr>
      </w:r>
      <w:r/>
    </w:p>
    <w:p>
      <w:pPr>
        <w:pStyle w:val="951"/>
        <w:spacing w:before="120" w:after="120" w:line="360" w:lineRule="auto"/>
        <w:rPr>
          <w:rFonts w:hAnsi="宋体"/>
          <w:color w:val="000000"/>
          <w:sz w:val="21"/>
        </w:rPr>
      </w:pPr>
      <w:r>
        <w:rPr>
          <w:rFonts w:hAnsi="宋体"/>
          <w:color w:val="000000"/>
          <w:sz w:val="21"/>
        </w:rPr>
      </w:r>
      <w:r/>
    </w:p>
    <w:tbl>
      <w:tblPr>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1"/>
              <w:spacing w:before="120" w:after="120" w:line="360" w:lineRule="auto"/>
              <w:rPr>
                <w:rFonts w:hAnsi="宋体"/>
                <w:color w:val="000000"/>
                <w:sz w:val="21"/>
              </w:rPr>
            </w:pPr>
            <w:r>
              <w:rPr>
                <w:rFonts w:hint="eastAsia" w:hAnsi="宋体"/>
                <w:color w:val="000000"/>
                <w:sz w:val="21"/>
              </w:rPr>
              <w:t xml:space="preserve">甲方： 扬州市公安局</w:t>
            </w:r>
            <w:r>
              <w:rPr>
                <w:rFonts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1"/>
              <w:spacing w:before="120" w:after="120" w:line="360" w:lineRule="auto"/>
              <w:rPr>
                <w:rFonts w:hAnsi="宋体"/>
                <w:color w:val="000000"/>
                <w:sz w:val="21"/>
              </w:rPr>
            </w:pPr>
            <w:r>
              <w:rPr>
                <w:rFonts w:hint="eastAsia" w:hAnsi="宋体"/>
                <w:color w:val="000000"/>
                <w:sz w:val="21"/>
              </w:rPr>
              <w:t xml:space="preserve">乙方： </w:t>
            </w:r>
            <w:r>
              <w:rPr>
                <w:rFonts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1"/>
              <w:spacing w:before="120" w:after="120" w:line="360" w:lineRule="auto"/>
              <w:rPr>
                <w:rFonts w:hAnsi="宋体"/>
                <w:color w:val="000000"/>
                <w:sz w:val="21"/>
              </w:rPr>
            </w:pPr>
            <w:r>
              <w:rPr>
                <w:rFonts w:hint="eastAsia" w:hAnsi="宋体"/>
                <w:color w:val="000000"/>
                <w:sz w:val="21"/>
              </w:rPr>
              <w:t xml:space="preserve">地址： </w:t>
            </w:r>
            <w:r>
              <w:rPr>
                <w:rFonts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1"/>
              <w:spacing w:before="120" w:after="120" w:line="360" w:lineRule="auto"/>
              <w:rPr>
                <w:rFonts w:hAnsi="宋体"/>
                <w:color w:val="000000"/>
                <w:sz w:val="21"/>
              </w:rPr>
            </w:pPr>
            <w:r>
              <w:rPr>
                <w:rFonts w:hint="eastAsia" w:hAnsi="宋体"/>
                <w:color w:val="000000"/>
                <w:sz w:val="21"/>
              </w:rPr>
              <w:t xml:space="preserve">地址： </w:t>
            </w:r>
            <w:r>
              <w:rPr>
                <w:rFonts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1"/>
              <w:spacing w:before="120" w:after="120" w:line="360" w:lineRule="auto"/>
              <w:rPr>
                <w:rFonts w:hAnsi="宋体"/>
                <w:color w:val="000000"/>
                <w:sz w:val="21"/>
              </w:rPr>
            </w:pPr>
            <w:r>
              <w:rPr>
                <w:rFonts w:hint="eastAsia" w:hAnsi="宋体"/>
                <w:color w:val="000000"/>
                <w:sz w:val="21"/>
              </w:rPr>
              <w:t xml:space="preserve">法定代表人或授权代表：</w:t>
            </w:r>
            <w:r>
              <w:rPr>
                <w:rFonts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1"/>
              <w:spacing w:before="120" w:after="120" w:line="360" w:lineRule="auto"/>
              <w:rPr>
                <w:rFonts w:hAnsi="宋体"/>
                <w:color w:val="000000"/>
                <w:sz w:val="21"/>
              </w:rPr>
            </w:pPr>
            <w:r>
              <w:rPr>
                <w:rFonts w:hint="eastAsia" w:hAnsi="宋体"/>
                <w:color w:val="000000"/>
                <w:sz w:val="21"/>
              </w:rPr>
              <w:t xml:space="preserve">法定代表人或授权代表：</w:t>
            </w:r>
            <w:r>
              <w:rPr>
                <w:rFonts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1"/>
              <w:spacing w:before="120" w:after="120" w:line="360" w:lineRule="auto"/>
              <w:rPr>
                <w:rFonts w:hAnsi="宋体"/>
                <w:color w:val="000000"/>
                <w:sz w:val="21"/>
              </w:rPr>
            </w:pPr>
            <w:r>
              <w:rPr>
                <w:rFonts w:hint="eastAsia" w:hAnsi="宋体"/>
                <w:color w:val="000000"/>
                <w:sz w:val="21"/>
              </w:rPr>
              <w:t xml:space="preserve">联系电话：</w:t>
            </w:r>
            <w:r>
              <w:rPr>
                <w:rFonts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1"/>
              <w:spacing w:before="120" w:after="120" w:line="360" w:lineRule="auto"/>
              <w:rPr>
                <w:rFonts w:hAnsi="宋体"/>
                <w:color w:val="000000"/>
                <w:sz w:val="21"/>
              </w:rPr>
            </w:pPr>
            <w:r>
              <w:rPr>
                <w:rFonts w:hint="eastAsia" w:hAnsi="宋体"/>
                <w:color w:val="000000"/>
                <w:sz w:val="21"/>
              </w:rPr>
              <w:t xml:space="preserve">联系电话：</w:t>
            </w:r>
            <w:r>
              <w:rPr>
                <w:rFonts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1"/>
              <w:spacing w:before="120" w:after="120" w:line="360" w:lineRule="auto"/>
              <w:rPr>
                <w:rFonts w:hAnsi="宋体"/>
                <w:color w:val="000000"/>
                <w:sz w:val="21"/>
              </w:rPr>
            </w:pPr>
            <w:r>
              <w:rPr>
                <w:rFonts w:hint="eastAsia" w:hAnsi="宋体"/>
                <w:color w:val="000000"/>
                <w:sz w:val="21"/>
              </w:rPr>
              <w:t xml:space="preserve">日期：      年    月    日  </w:t>
            </w:r>
            <w:r>
              <w:rPr>
                <w:rFonts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1"/>
              <w:spacing w:before="120" w:after="120" w:line="360" w:lineRule="auto"/>
              <w:rPr>
                <w:rFonts w:hAnsi="宋体"/>
                <w:color w:val="000000"/>
                <w:sz w:val="21"/>
              </w:rPr>
            </w:pPr>
            <w:r>
              <w:rPr>
                <w:rFonts w:hint="eastAsia" w:hAnsi="宋体"/>
                <w:color w:val="000000"/>
                <w:sz w:val="21"/>
              </w:rPr>
              <w:t xml:space="preserve">日期：      年    月    日</w:t>
            </w:r>
            <w:r>
              <w:rPr>
                <w:rFonts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1"/>
              <w:spacing w:before="120" w:after="120" w:line="360" w:lineRule="auto"/>
              <w:rPr>
                <w:rFonts w:hAnsi="宋体"/>
                <w:color w:val="000000"/>
                <w:sz w:val="21"/>
              </w:rPr>
            </w:pPr>
            <w:r>
              <w:rPr>
                <w:rFonts w:hint="eastAsia" w:hAnsi="宋体"/>
                <w:color w:val="000000"/>
                <w:sz w:val="21"/>
              </w:rPr>
              <w:t xml:space="preserve">见证方：江苏汇诚投资咨询管理有限公司</w:t>
            </w:r>
            <w:r>
              <w:rPr>
                <w:rFonts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1"/>
              <w:spacing w:before="120" w:after="120" w:line="360" w:lineRule="auto"/>
              <w:rPr>
                <w:rFonts w:hAnsi="宋体"/>
                <w:color w:val="000000"/>
                <w:sz w:val="21"/>
              </w:rPr>
            </w:pPr>
            <w:r>
              <w:rPr>
                <w:rFonts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1"/>
              <w:spacing w:before="120" w:after="120" w:line="360" w:lineRule="auto"/>
              <w:rPr>
                <w:rFonts w:hAnsi="宋体"/>
                <w:color w:val="000000"/>
                <w:sz w:val="21"/>
              </w:rPr>
            </w:pPr>
            <w:r>
              <w:rPr>
                <w:rFonts w:hint="eastAsia" w:hAnsi="宋体"/>
                <w:color w:val="000000"/>
                <w:sz w:val="21"/>
              </w:rPr>
              <w:t xml:space="preserve">项目经办人：</w:t>
            </w:r>
            <w:r>
              <w:rPr>
                <w:rFonts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1"/>
              <w:spacing w:before="120" w:after="120" w:line="360" w:lineRule="auto"/>
              <w:rPr>
                <w:rFonts w:hAnsi="宋体"/>
                <w:color w:val="000000"/>
                <w:sz w:val="21"/>
              </w:rPr>
            </w:pPr>
            <w:r>
              <w:rPr>
                <w:rFonts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1"/>
              <w:spacing w:before="120" w:after="120" w:line="360" w:lineRule="auto"/>
              <w:rPr>
                <w:rFonts w:hAnsi="宋体"/>
                <w:color w:val="000000"/>
                <w:sz w:val="21"/>
              </w:rPr>
            </w:pPr>
            <w:r>
              <w:rPr>
                <w:rFonts w:hint="eastAsia" w:hAnsi="宋体"/>
                <w:color w:val="000000"/>
                <w:sz w:val="21"/>
              </w:rPr>
              <w:t xml:space="preserve">日期：      年    月    日 </w:t>
            </w:r>
            <w:r>
              <w:rPr>
                <w:rFonts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1"/>
              <w:spacing w:before="120" w:after="120" w:line="360" w:lineRule="auto"/>
              <w:rPr>
                <w:rFonts w:hAnsi="宋体"/>
                <w:color w:val="000000"/>
                <w:sz w:val="21"/>
              </w:rPr>
            </w:pPr>
            <w:r>
              <w:rPr>
                <w:rFonts w:hAnsi="宋体"/>
                <w:color w:val="000000"/>
                <w:sz w:val="21"/>
              </w:rPr>
            </w:r>
            <w:r/>
          </w:p>
        </w:tc>
      </w:tr>
    </w:tbl>
    <w:p>
      <w:pPr>
        <w:pStyle w:val="951"/>
        <w:ind w:firstLine="420"/>
        <w:spacing w:before="120" w:after="120" w:line="360" w:lineRule="auto"/>
        <w:rPr>
          <w:rFonts w:hAnsi="宋体"/>
          <w:color w:val="000000"/>
          <w:sz w:val="21"/>
        </w:rPr>
      </w:pPr>
      <w:r>
        <w:rPr>
          <w:rFonts w:hAnsi="宋体"/>
          <w:color w:val="000000"/>
          <w:sz w:val="21"/>
        </w:rPr>
      </w:r>
      <w:r/>
    </w:p>
    <w:p>
      <w:pPr>
        <w:pStyle w:val="951"/>
        <w:ind w:firstLine="420"/>
        <w:spacing w:before="120" w:after="120" w:line="360" w:lineRule="auto"/>
        <w:rPr>
          <w:rFonts w:hAnsi="宋体"/>
          <w:color w:val="000000"/>
          <w:sz w:val="21"/>
        </w:rPr>
      </w:pPr>
      <w:r>
        <w:rPr>
          <w:rFonts w:hAnsi="宋体"/>
          <w:color w:val="000000"/>
          <w:sz w:val="21"/>
        </w:rPr>
      </w:r>
      <w:r/>
    </w:p>
    <w:p>
      <w:pPr>
        <w:pStyle w:val="951"/>
        <w:spacing w:before="120" w:after="120" w:line="360" w:lineRule="auto"/>
        <w:rPr>
          <w:rFonts w:hAnsi="宋体"/>
          <w:color w:val="000000"/>
          <w:sz w:val="21"/>
        </w:rPr>
      </w:pPr>
      <w:r>
        <w:rPr>
          <w:rFonts w:hAnsi="宋体"/>
          <w:color w:val="000000"/>
          <w:sz w:val="21"/>
        </w:rPr>
      </w:r>
      <w:r/>
    </w:p>
    <w:p>
      <w:pPr>
        <w:pStyle w:val="951"/>
        <w:spacing w:before="120" w:after="120" w:line="360" w:lineRule="auto"/>
        <w:rPr>
          <w:rFonts w:hAnsi="宋体"/>
          <w:color w:val="000000"/>
          <w:sz w:val="21"/>
        </w:rPr>
      </w:pPr>
      <w:r>
        <w:rPr>
          <w:rFonts w:hAnsi="宋体"/>
          <w:color w:val="000000"/>
          <w:sz w:val="21"/>
        </w:rPr>
      </w:r>
      <w:r/>
    </w:p>
    <w:p>
      <w:pPr>
        <w:pStyle w:val="742"/>
        <w:numPr>
          <w:ilvl w:val="0"/>
          <w:numId w:val="5"/>
        </w:numPr>
        <w:jc w:val="center"/>
        <w:spacing w:line="360" w:lineRule="auto"/>
        <w:rPr>
          <w:rFonts w:ascii="宋体" w:hAnsi="宋体"/>
        </w:rPr>
      </w:pPr>
      <w:r/>
      <w:bookmarkEnd w:id="57"/>
      <w:r/>
      <w:bookmarkStart w:id="58" w:name="_Toc191970192"/>
      <w:r>
        <w:rPr>
          <w:rFonts w:hint="eastAsia" w:ascii="宋体" w:hAnsi="宋体"/>
        </w:rPr>
        <w:t xml:space="preserve">项目需求</w:t>
      </w:r>
      <w:bookmarkEnd w:id="58"/>
      <w:r>
        <w:rPr>
          <w:rFonts w:ascii="宋体" w:hAnsi="宋体"/>
        </w:rPr>
      </w:r>
      <w:r/>
    </w:p>
    <w:p>
      <w:pPr>
        <w:pStyle w:val="741"/>
        <w:ind w:firstLine="422"/>
        <w:spacing w:line="360" w:lineRule="auto"/>
        <w:rPr>
          <w:rFonts w:ascii="宋体" w:hAnsi="宋体" w:cs="宋体"/>
          <w:spacing w:val="3"/>
          <w:szCs w:val="21"/>
        </w:rPr>
      </w:pPr>
      <w:r>
        <w:rPr>
          <w:rFonts w:hint="eastAsia"/>
          <w:b/>
          <w:bCs/>
          <w:color w:val="000000"/>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rPr>
        <w:t xml:space="preserve">“</w:t>
      </w:r>
      <w:r>
        <w:rPr>
          <w:rFonts w:hint="eastAsia"/>
          <w:b/>
          <w:bCs/>
          <w:color w:val="000000"/>
        </w:rPr>
        <w:t xml:space="preserve">符合证明文件格式</w:t>
      </w:r>
      <w:r>
        <w:rPr>
          <w:b/>
          <w:bCs/>
          <w:color w:val="000000"/>
        </w:rPr>
        <w:t xml:space="preserve">”</w:t>
      </w:r>
      <w:r>
        <w:rPr>
          <w:rFonts w:hint="eastAsia"/>
          <w:b/>
          <w:bCs/>
          <w:color w:val="000000"/>
        </w:rPr>
        <w:t xml:space="preserve">中准确填写或上传。</w:t>
      </w:r>
      <w:r>
        <w:rPr>
          <w:rFonts w:ascii="宋体" w:hAnsi="宋体" w:cs="宋体"/>
          <w:spacing w:val="3"/>
          <w:szCs w:val="21"/>
        </w:rPr>
      </w:r>
      <w:r/>
    </w:p>
    <w:p>
      <w:pPr>
        <w:pStyle w:val="741"/>
        <w:spacing w:line="440" w:lineRule="exact"/>
        <w:rPr>
          <w:rFonts w:ascii="宋体" w:hAnsi="宋体" w:cs="宋体"/>
          <w:spacing w:val="3"/>
          <w:szCs w:val="21"/>
        </w:rPr>
      </w:pPr>
      <w:r>
        <w:rPr>
          <w:rFonts w:hint="eastAsia" w:ascii="宋体" w:hAnsi="宋体" w:cs="宋体"/>
          <w:spacing w:val="3"/>
          <w:szCs w:val="21"/>
        </w:rPr>
        <w:t xml:space="preserve">一、项目属性:货物类项目</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1. 如本项目采购产品被财政部、国家发改委、生态环境部等列入“节能产品政府采购品目清单”强制采购范围，投标文件中必须提供国家确定的认证机构出具的、处于有效期之内的该节能产品认证证书。本项目强制节能产品：</w:t>
      </w:r>
      <w:r>
        <w:rPr>
          <w:rFonts w:hint="eastAsia" w:ascii="宋体" w:hAnsi="宋体" w:cs="宋体"/>
          <w:spacing w:val="3"/>
          <w:szCs w:val="21"/>
          <w:u w:val="single"/>
        </w:rPr>
        <w:t xml:space="preserve"> 无  </w:t>
      </w:r>
      <w:r>
        <w:rPr>
          <w:rFonts w:hint="eastAsia" w:ascii="宋体" w:hAnsi="宋体" w:cs="宋体"/>
          <w:spacing w:val="3"/>
          <w:szCs w:val="21"/>
        </w:rPr>
        <w:t xml:space="preserve">。</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2. 供应商对于投标产品的包装应按照“财办库〔2020〕123号《关于印发《商品包装政府采购需求标准（试行）》、《快递包装政府采购需求标准（试行）》的通知》”执行。</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3. 采购标的清单</w:t>
      </w:r>
      <w:r>
        <w:rPr>
          <w:rFonts w:ascii="宋体" w:hAnsi="宋体" w:cs="宋体"/>
          <w:spacing w:val="3"/>
          <w:szCs w:val="21"/>
        </w:rPr>
      </w:r>
      <w:r/>
    </w:p>
    <w:tbl>
      <w:tblPr>
        <w:tblW w:w="7619" w:type="dxa"/>
        <w:tblInd w:w="32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3970"/>
        <w:gridCol w:w="2419"/>
      </w:tblGrid>
      <w:tr>
        <w:trPr/>
        <w:tc>
          <w:tcPr>
            <w:tcMar>
              <w:left w:w="108" w:type="dxa"/>
              <w:top w:w="0" w:type="dxa"/>
              <w:right w:w="108" w:type="dxa"/>
              <w:bottom w:w="0" w:type="dxa"/>
            </w:tcMar>
            <w:tcW w:w="1230" w:type="dxa"/>
            <w:vAlign w:val="center"/>
            <w:textDirection w:val="lrTb"/>
            <w:noWrap w:val="false"/>
          </w:tcPr>
          <w:p>
            <w:pPr>
              <w:pStyle w:val="741"/>
              <w:jc w:val="center"/>
              <w:spacing w:line="440" w:lineRule="exact"/>
              <w:rPr>
                <w:rFonts w:ascii="宋体" w:hAnsi="宋体" w:cs="宋体"/>
                <w:spacing w:val="3"/>
                <w:szCs w:val="21"/>
              </w:rPr>
            </w:pPr>
            <w:r>
              <w:rPr>
                <w:rFonts w:hint="eastAsia" w:ascii="宋体" w:hAnsi="宋体" w:cs="宋体"/>
                <w:spacing w:val="3"/>
                <w:szCs w:val="21"/>
              </w:rPr>
              <w:t xml:space="preserve">采购包号</w:t>
            </w:r>
            <w:r>
              <w:rPr>
                <w:rFonts w:ascii="宋体" w:hAnsi="宋体" w:cs="宋体"/>
                <w:spacing w:val="3"/>
                <w:szCs w:val="21"/>
              </w:rPr>
            </w:r>
            <w:r/>
          </w:p>
        </w:tc>
        <w:tc>
          <w:tcPr>
            <w:tcMar>
              <w:left w:w="108" w:type="dxa"/>
              <w:top w:w="0" w:type="dxa"/>
              <w:right w:w="108" w:type="dxa"/>
              <w:bottom w:w="0" w:type="dxa"/>
            </w:tcMar>
            <w:tcW w:w="3970" w:type="dxa"/>
            <w:vAlign w:val="center"/>
            <w:textDirection w:val="lrTb"/>
            <w:noWrap w:val="false"/>
          </w:tcPr>
          <w:p>
            <w:pPr>
              <w:pStyle w:val="741"/>
              <w:jc w:val="center"/>
              <w:spacing w:line="440" w:lineRule="exact"/>
              <w:rPr>
                <w:rFonts w:ascii="宋体" w:hAnsi="宋体" w:cs="宋体"/>
                <w:spacing w:val="3"/>
                <w:szCs w:val="21"/>
              </w:rPr>
            </w:pPr>
            <w:r>
              <w:rPr>
                <w:rFonts w:hint="eastAsia" w:ascii="宋体" w:hAnsi="宋体" w:cs="宋体"/>
                <w:spacing w:val="3"/>
                <w:szCs w:val="21"/>
              </w:rPr>
              <w:t xml:space="preserve">采购标的</w:t>
            </w:r>
            <w:r>
              <w:rPr>
                <w:rFonts w:ascii="宋体" w:hAnsi="宋体" w:cs="宋体"/>
                <w:spacing w:val="3"/>
                <w:szCs w:val="21"/>
              </w:rPr>
            </w:r>
            <w:r/>
          </w:p>
        </w:tc>
        <w:tc>
          <w:tcPr>
            <w:tcMar>
              <w:left w:w="108" w:type="dxa"/>
              <w:top w:w="0" w:type="dxa"/>
              <w:right w:w="108" w:type="dxa"/>
              <w:bottom w:w="0" w:type="dxa"/>
            </w:tcMar>
            <w:tcW w:w="2419" w:type="dxa"/>
            <w:vAlign w:val="center"/>
            <w:textDirection w:val="lrTb"/>
            <w:noWrap w:val="false"/>
          </w:tcPr>
          <w:p>
            <w:pPr>
              <w:pStyle w:val="741"/>
              <w:jc w:val="center"/>
              <w:spacing w:line="440" w:lineRule="exact"/>
              <w:rPr>
                <w:rFonts w:ascii="宋体" w:hAnsi="宋体" w:cs="宋体"/>
                <w:spacing w:val="3"/>
                <w:szCs w:val="21"/>
              </w:rPr>
            </w:pPr>
            <w:r>
              <w:rPr>
                <w:rFonts w:hint="eastAsia" w:ascii="宋体" w:hAnsi="宋体" w:cs="宋体"/>
                <w:spacing w:val="3"/>
                <w:szCs w:val="21"/>
              </w:rPr>
              <w:t xml:space="preserve">对应中小企业划分标准所属行业</w:t>
            </w:r>
            <w:r>
              <w:rPr>
                <w:rFonts w:ascii="宋体" w:hAnsi="宋体" w:cs="宋体"/>
                <w:spacing w:val="3"/>
                <w:szCs w:val="21"/>
              </w:rPr>
            </w:r>
            <w:r/>
          </w:p>
        </w:tc>
      </w:tr>
      <w:tr>
        <w:trPr>
          <w:trHeight w:val="953"/>
        </w:trPr>
        <w:tc>
          <w:tcPr>
            <w:tcMar>
              <w:left w:w="108" w:type="dxa"/>
              <w:top w:w="0" w:type="dxa"/>
              <w:right w:w="108" w:type="dxa"/>
              <w:bottom w:w="0" w:type="dxa"/>
            </w:tcMar>
            <w:tcW w:w="1230" w:type="dxa"/>
            <w:vAlign w:val="top"/>
            <w:textDirection w:val="lrTb"/>
            <w:noWrap w:val="false"/>
          </w:tcPr>
          <w:p>
            <w:pPr>
              <w:pStyle w:val="741"/>
              <w:jc w:val="center"/>
              <w:spacing w:line="440" w:lineRule="exact"/>
              <w:rPr>
                <w:rFonts w:ascii="宋体" w:hAnsi="宋体" w:cs="宋体"/>
                <w:spacing w:val="3"/>
                <w:szCs w:val="21"/>
              </w:rPr>
            </w:pPr>
            <w:r>
              <w:rPr>
                <w:rFonts w:hint="eastAsia" w:ascii="宋体" w:hAnsi="宋体" w:cs="宋体"/>
                <w:spacing w:val="3"/>
                <w:szCs w:val="21"/>
              </w:rPr>
              <w:t xml:space="preserve">1</w:t>
            </w:r>
            <w:r>
              <w:rPr>
                <w:rFonts w:ascii="宋体" w:hAnsi="宋体" w:cs="宋体"/>
                <w:spacing w:val="3"/>
                <w:szCs w:val="21"/>
              </w:rPr>
            </w:r>
            <w:r/>
          </w:p>
        </w:tc>
        <w:tc>
          <w:tcPr>
            <w:tcMar>
              <w:left w:w="108" w:type="dxa"/>
              <w:top w:w="0" w:type="dxa"/>
              <w:right w:w="108" w:type="dxa"/>
              <w:bottom w:w="0" w:type="dxa"/>
            </w:tcMar>
            <w:tcW w:w="3970" w:type="dxa"/>
            <w:vAlign w:val="top"/>
            <w:textDirection w:val="lrTb"/>
            <w:noWrap w:val="false"/>
          </w:tcPr>
          <w:p>
            <w:pPr>
              <w:pStyle w:val="741"/>
              <w:jc w:val="center"/>
              <w:spacing w:line="440" w:lineRule="exact"/>
              <w:rPr>
                <w:rFonts w:ascii="宋体" w:hAnsi="宋体" w:cs="宋体"/>
                <w:spacing w:val="3"/>
                <w:szCs w:val="21"/>
              </w:rPr>
            </w:pPr>
            <w:r>
              <w:rPr>
                <w:rFonts w:hint="eastAsia" w:ascii="宋体" w:hAnsi="宋体" w:cs="宋体"/>
                <w:spacing w:val="3"/>
                <w:szCs w:val="21"/>
              </w:rPr>
              <w:t xml:space="preserve">扬州市公安局公安交通管理综合应用平台社会化服务系统升级改造项目</w:t>
            </w:r>
            <w:r>
              <w:rPr>
                <w:rFonts w:ascii="宋体" w:hAnsi="宋体" w:cs="宋体"/>
                <w:spacing w:val="3"/>
                <w:szCs w:val="21"/>
              </w:rPr>
            </w:r>
            <w:r/>
          </w:p>
        </w:tc>
        <w:tc>
          <w:tcPr>
            <w:tcMar>
              <w:left w:w="108" w:type="dxa"/>
              <w:top w:w="0" w:type="dxa"/>
              <w:right w:w="108" w:type="dxa"/>
              <w:bottom w:w="0" w:type="dxa"/>
            </w:tcMar>
            <w:tcW w:w="2419" w:type="dxa"/>
            <w:vAlign w:val="top"/>
            <w:textDirection w:val="lrTb"/>
            <w:noWrap w:val="false"/>
          </w:tcPr>
          <w:p>
            <w:pPr>
              <w:pStyle w:val="741"/>
              <w:jc w:val="center"/>
              <w:spacing w:line="440" w:lineRule="exact"/>
              <w:rPr>
                <w:rFonts w:ascii="宋体" w:hAnsi="宋体" w:cs="宋体"/>
                <w:spacing w:val="3"/>
                <w:szCs w:val="21"/>
              </w:rPr>
            </w:pPr>
            <w:r>
              <w:rPr>
                <w:rFonts w:hint="eastAsia" w:ascii="宋体" w:hAnsi="宋体" w:cs="宋体"/>
                <w:spacing w:val="3"/>
                <w:szCs w:val="21"/>
              </w:rPr>
              <w:t xml:space="preserve">工业</w:t>
            </w:r>
            <w:r>
              <w:rPr>
                <w:rFonts w:ascii="宋体" w:hAnsi="宋体" w:cs="宋体"/>
                <w:spacing w:val="3"/>
                <w:szCs w:val="21"/>
              </w:rPr>
            </w:r>
            <w:r/>
          </w:p>
        </w:tc>
      </w:tr>
    </w:tbl>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4．核心产品</w:t>
      </w:r>
      <w:r>
        <w:rPr>
          <w:rFonts w:ascii="宋体" w:hAnsi="宋体" w:cs="宋体"/>
          <w:spacing w:val="3"/>
          <w:szCs w:val="21"/>
        </w:rPr>
      </w:r>
      <w:r/>
    </w:p>
    <w:tbl>
      <w:tblPr>
        <w:tblW w:w="7630" w:type="dxa"/>
        <w:tblInd w:w="31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0"/>
        <w:gridCol w:w="4830"/>
      </w:tblGrid>
      <w:tr>
        <w:trPr/>
        <w:tc>
          <w:tcPr>
            <w:tcMar>
              <w:left w:w="108" w:type="dxa"/>
              <w:top w:w="0" w:type="dxa"/>
              <w:right w:w="108" w:type="dxa"/>
              <w:bottom w:w="0" w:type="dxa"/>
            </w:tcMar>
            <w:tcW w:w="2800" w:type="dxa"/>
            <w:vAlign w:val="center"/>
            <w:textDirection w:val="lrTb"/>
            <w:noWrap w:val="false"/>
          </w:tcPr>
          <w:p>
            <w:pPr>
              <w:pStyle w:val="741"/>
              <w:ind w:firstLine="432"/>
              <w:jc w:val="center"/>
              <w:spacing w:line="440" w:lineRule="exact"/>
              <w:rPr>
                <w:rFonts w:ascii="宋体" w:hAnsi="宋体" w:cs="宋体"/>
                <w:spacing w:val="3"/>
                <w:szCs w:val="21"/>
              </w:rPr>
            </w:pPr>
            <w:r>
              <w:rPr>
                <w:rFonts w:hint="eastAsia" w:ascii="宋体" w:hAnsi="宋体" w:cs="宋体"/>
                <w:spacing w:val="3"/>
                <w:szCs w:val="21"/>
              </w:rPr>
              <w:t xml:space="preserve">采购包号</w:t>
            </w:r>
            <w:r>
              <w:rPr>
                <w:rFonts w:ascii="宋体" w:hAnsi="宋体" w:cs="宋体"/>
                <w:spacing w:val="3"/>
                <w:szCs w:val="21"/>
              </w:rPr>
            </w:r>
            <w:r/>
          </w:p>
        </w:tc>
        <w:tc>
          <w:tcPr>
            <w:tcMar>
              <w:left w:w="108" w:type="dxa"/>
              <w:top w:w="0" w:type="dxa"/>
              <w:right w:w="108" w:type="dxa"/>
              <w:bottom w:w="0" w:type="dxa"/>
            </w:tcMar>
            <w:tcW w:w="4830" w:type="dxa"/>
            <w:vAlign w:val="center"/>
            <w:textDirection w:val="lrTb"/>
            <w:noWrap w:val="false"/>
          </w:tcPr>
          <w:p>
            <w:pPr>
              <w:pStyle w:val="741"/>
              <w:ind w:firstLine="432"/>
              <w:jc w:val="center"/>
              <w:spacing w:line="440" w:lineRule="exact"/>
              <w:rPr>
                <w:rFonts w:ascii="宋体" w:hAnsi="宋体" w:cs="宋体"/>
                <w:spacing w:val="3"/>
                <w:szCs w:val="21"/>
              </w:rPr>
            </w:pPr>
            <w:r>
              <w:rPr>
                <w:rFonts w:hint="eastAsia" w:ascii="宋体" w:hAnsi="宋体" w:cs="宋体"/>
                <w:spacing w:val="3"/>
                <w:szCs w:val="21"/>
              </w:rPr>
              <w:t xml:space="preserve">核心产品</w:t>
            </w:r>
            <w:r>
              <w:rPr>
                <w:rFonts w:ascii="宋体" w:hAnsi="宋体" w:cs="宋体"/>
                <w:spacing w:val="3"/>
                <w:szCs w:val="21"/>
              </w:rPr>
            </w:r>
            <w:r/>
          </w:p>
        </w:tc>
      </w:tr>
      <w:tr>
        <w:trPr/>
        <w:tc>
          <w:tcPr>
            <w:tcMar>
              <w:left w:w="108" w:type="dxa"/>
              <w:top w:w="0" w:type="dxa"/>
              <w:right w:w="108" w:type="dxa"/>
              <w:bottom w:w="0" w:type="dxa"/>
            </w:tcMar>
            <w:tcW w:w="2800" w:type="dxa"/>
            <w:vAlign w:val="center"/>
            <w:textDirection w:val="lrTb"/>
            <w:noWrap w:val="false"/>
          </w:tcPr>
          <w:p>
            <w:pPr>
              <w:pStyle w:val="741"/>
              <w:ind w:firstLine="432"/>
              <w:jc w:val="center"/>
              <w:spacing w:line="440" w:lineRule="exact"/>
              <w:rPr>
                <w:rFonts w:ascii="宋体" w:hAnsi="宋体" w:cs="宋体"/>
                <w:spacing w:val="3"/>
                <w:szCs w:val="21"/>
              </w:rPr>
            </w:pPr>
            <w:r>
              <w:rPr>
                <w:rFonts w:hint="eastAsia" w:ascii="宋体" w:hAnsi="宋体" w:cs="宋体"/>
                <w:spacing w:val="3"/>
                <w:szCs w:val="21"/>
              </w:rPr>
              <w:t xml:space="preserve">1</w:t>
            </w:r>
            <w:r>
              <w:rPr>
                <w:rFonts w:ascii="宋体" w:hAnsi="宋体" w:cs="宋体"/>
                <w:spacing w:val="3"/>
                <w:szCs w:val="21"/>
              </w:rPr>
            </w:r>
            <w:r/>
          </w:p>
        </w:tc>
        <w:tc>
          <w:tcPr>
            <w:tcMar>
              <w:left w:w="108" w:type="dxa"/>
              <w:top w:w="0" w:type="dxa"/>
              <w:right w:w="108" w:type="dxa"/>
              <w:bottom w:w="0" w:type="dxa"/>
            </w:tcMar>
            <w:tcW w:w="4830" w:type="dxa"/>
            <w:vAlign w:val="center"/>
            <w:textDirection w:val="lrTb"/>
            <w:noWrap w:val="false"/>
          </w:tcPr>
          <w:p>
            <w:pPr>
              <w:pStyle w:val="741"/>
              <w:ind w:firstLine="432"/>
              <w:jc w:val="center"/>
              <w:spacing w:line="440" w:lineRule="exact"/>
              <w:rPr>
                <w:rFonts w:ascii="宋体" w:hAnsi="宋体" w:cs="宋体"/>
                <w:spacing w:val="3"/>
                <w:szCs w:val="21"/>
              </w:rPr>
            </w:pPr>
            <w:r>
              <w:rPr>
                <w:rFonts w:hint="eastAsia" w:ascii="宋体" w:hAnsi="宋体" w:cs="宋体"/>
                <w:spacing w:val="3"/>
                <w:szCs w:val="21"/>
              </w:rPr>
              <w:t xml:space="preserve">单向安全传输系统</w:t>
            </w:r>
            <w:r>
              <w:rPr>
                <w:rFonts w:ascii="宋体" w:hAnsi="宋体" w:cs="宋体"/>
                <w:spacing w:val="3"/>
                <w:szCs w:val="21"/>
              </w:rPr>
            </w:r>
            <w:r/>
          </w:p>
        </w:tc>
      </w:tr>
    </w:tbl>
    <w:p>
      <w:pPr>
        <w:pStyle w:val="741"/>
        <w:jc w:val="center"/>
        <w:spacing w:line="440" w:lineRule="exact"/>
        <w:rPr>
          <w:rFonts w:ascii="宋体" w:hAnsi="宋体" w:cs="宋体"/>
          <w:spacing w:val="3"/>
          <w:szCs w:val="21"/>
        </w:rPr>
      </w:pPr>
      <w:r>
        <w:rPr>
          <w:rFonts w:ascii="宋体" w:hAnsi="宋体" w:cs="宋体"/>
          <w:spacing w:val="3"/>
          <w:szCs w:val="21"/>
        </w:rPr>
      </w:r>
      <w:r/>
    </w:p>
    <w:p>
      <w:pPr>
        <w:pStyle w:val="741"/>
        <w:spacing w:line="440" w:lineRule="exact"/>
        <w:rPr>
          <w:rFonts w:ascii="宋体" w:hAnsi="宋体" w:cs="宋体"/>
          <w:spacing w:val="3"/>
          <w:szCs w:val="21"/>
        </w:rPr>
      </w:pPr>
      <w:r>
        <w:rPr>
          <w:rFonts w:hint="eastAsia" w:ascii="宋体" w:hAnsi="宋体" w:cs="宋体"/>
          <w:spacing w:val="3"/>
          <w:szCs w:val="21"/>
        </w:rPr>
        <w:t xml:space="preserve">二、技术要求</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（一）项目概况</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通过社会化服务系统升级推广应用，全面整合专网服务系统数据库、应用服务器等软硬件服务资源，规范业务流、数据流，构建面向检测站、考场、汽车销售商、登记服务站等社会化网点的统一版服务管理系统。全面整合社会化服务网络，微服务化部署应用，提升系统运行效率，强化安全防护能力。推进业务数据和音视频等非结构化数据的融合应用，强化业务监管、防范业务风险，提升服务群众水平。</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公安交通管理综合应用平台社会化服务系统作为公安部统一下发的标准软件系统，深度整合了交管信息资源，全面覆盖机动车登记、机动车查验、机动车检验、驾驶证管理和驾驶人考试等关键业务领域。系统旨在构建高效、协同、规范的社会化服务网络，通过统一的对外接口和标准化的接入方式，畅通业务流和数据流，大幅提升系统运行效率，并显著降低运维管理成本。包含以下方面：</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一是统一</w:t>
      </w:r>
      <w:r>
        <w:rPr>
          <w:rFonts w:hint="eastAsia" w:ascii="宋体" w:hAnsi="宋体" w:cs="宋体"/>
          <w:spacing w:val="3"/>
          <w:szCs w:val="21"/>
        </w:rPr>
        <w:t xml:space="preserve">技术架构。统筹整合社会化服务网络系统中交管信息资源，推进机动车登记服务、机动车查验监管、机动车检验监管和驾驶证管理、驾驶理论考试、驾驶人考试监管等系统升级改造，应用统一版社会化服务系统，规范业务流、数据流，提升系统运行效率，便捷运维管理。二是提升服务效能。全面梳理社会化服务系统数据资源和系统功能，厘清统一版软件与各地自建的机动车检验系统、科目二/三考试系统、排队叫号软件、音视频共享管理系统、音视频智能识别分析系统等的关系和功能定位，规范和引导各地开展外挂软件的升级改造和音视频管理应用，推进业务融合升级改造，</w:t>
      </w:r>
      <w:r>
        <w:rPr>
          <w:rFonts w:hint="eastAsia" w:ascii="宋体" w:hAnsi="宋体" w:cs="宋体"/>
          <w:spacing w:val="3"/>
          <w:szCs w:val="21"/>
        </w:rPr>
        <w:t xml:space="preserve">提升服务群众水平。三是强化业务监管。畅通社会化服务系统与综合业务监管系统间数据通道，进一步完善基于大数据的业务监管指标体系及监管机制，融合应用业务数据和音视频非结构化数据，实现业务数据与音视频数据的精准关联、音视频智能监管，强化对社会化机构代办交管业务的监管能力，提升系统整体应用成效。四是夯实信息安全。从网络、数据交换、服务器部署、业务应用、终端电脑等方面提出安全管理要求，规范和引导各地社会化服务网络的建设和使用，保障接入网络、用户终端电脑、驾驶理论考台及移动接入端的运行使用安全，全面提升系统安全防护能力。</w:t>
      </w:r>
      <w:r>
        <w:rPr>
          <w:rFonts w:ascii="宋体" w:hAnsi="宋体" w:cs="宋体"/>
          <w:spacing w:val="3"/>
          <w:szCs w:val="21"/>
        </w:rPr>
      </w:r>
      <w:r/>
    </w:p>
    <w:p>
      <w:pPr>
        <w:pStyle w:val="741"/>
        <w:ind w:firstLine="432"/>
        <w:spacing w:line="440" w:lineRule="exact"/>
        <w:rPr>
          <w:rFonts w:ascii="宋体" w:hAnsi="宋体" w:cs="宋体"/>
          <w:spacing w:val="3"/>
          <w:szCs w:val="21"/>
        </w:rPr>
      </w:pPr>
      <w:r/>
      <w:bookmarkStart w:id="59" w:name="_Toc3403"/>
      <w:r>
        <w:rPr>
          <w:rFonts w:hint="eastAsia" w:ascii="宋体" w:hAnsi="宋体" w:cs="宋体"/>
          <w:spacing w:val="3"/>
          <w:szCs w:val="21"/>
        </w:rPr>
        <w:t xml:space="preserve">（二）建设方案</w:t>
      </w:r>
      <w:bookmarkEnd w:id="59"/>
      <w:r>
        <w:rPr>
          <w:rFonts w:ascii="宋体" w:hAnsi="宋体" w:cs="宋体"/>
          <w:spacing w:val="3"/>
          <w:szCs w:val="21"/>
        </w:rPr>
      </w:r>
      <w:r/>
    </w:p>
    <w:p>
      <w:pPr>
        <w:pStyle w:val="741"/>
        <w:ind w:firstLine="434"/>
        <w:spacing w:line="440" w:lineRule="exact"/>
        <w:rPr>
          <w:rFonts w:ascii="宋体" w:hAnsi="宋体" w:cs="宋体"/>
          <w:spacing w:val="3"/>
          <w:szCs w:val="21"/>
        </w:rPr>
      </w:pPr>
      <w:r/>
      <w:bookmarkStart w:id="60" w:name="_Toc13089"/>
      <w:r>
        <w:rPr>
          <w:rFonts w:hint="eastAsia" w:ascii="宋体" w:hAnsi="宋体" w:cs="宋体"/>
          <w:b/>
          <w:bCs/>
          <w:spacing w:val="3"/>
          <w:szCs w:val="21"/>
        </w:rPr>
        <w:t xml:space="preserve">2.1扬州专网服务系统现状</w:t>
      </w:r>
      <w:bookmarkEnd w:id="60"/>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扬州市公安交通管理综合应用平台专网服务系统包含机动车检验监管系统、机动车查验监管系统、驾驶证管理系统。</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公安交通管理综合应用平台专网服务系统现有硬件设备资源如下：</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1.机动车检验监管系统现有硬件设备性能满足社会化专网系统需求，部分可利旧。</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2.机动车查验监管系统现有硬件设备性能满足社会化专网系统需求，部分可利旧。</w:t>
      </w:r>
      <w:r>
        <w:rPr>
          <w:rFonts w:ascii="宋体" w:hAnsi="宋体" w:cs="宋体"/>
          <w:spacing w:val="3"/>
          <w:szCs w:val="21"/>
        </w:rPr>
      </w:r>
      <w:r/>
    </w:p>
    <w:p>
      <w:pPr>
        <w:pStyle w:val="741"/>
        <w:ind w:firstLine="434"/>
        <w:spacing w:line="440" w:lineRule="exact"/>
        <w:rPr>
          <w:rFonts w:ascii="宋体" w:hAnsi="宋体" w:cs="宋体"/>
          <w:spacing w:val="3"/>
          <w:szCs w:val="21"/>
        </w:rPr>
      </w:pPr>
      <w:r>
        <w:rPr>
          <w:rFonts w:hint="eastAsia" w:ascii="宋体" w:hAnsi="宋体" w:cs="宋体"/>
          <w:b/>
          <w:bCs/>
          <w:spacing w:val="3"/>
          <w:szCs w:val="21"/>
        </w:rPr>
        <w:t xml:space="preserve">2.2统筹现有专网服务系统与新社会化服务系统业务并行</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为保证</w:t>
      </w:r>
      <w:r>
        <w:rPr>
          <w:rFonts w:hint="eastAsia" w:ascii="宋体" w:hAnsi="宋体" w:cs="宋体"/>
          <w:spacing w:val="3"/>
          <w:szCs w:val="21"/>
        </w:rPr>
        <w:t xml:space="preserve">车驾管业务系统不受影响，需要统筹现有专网服务系统（检验监管、查验监管）所有硬件设备资源。在统筹规划的过程中，现有专网服务系统保留部分硬件设备资源，确保它在双系统并行期间能够正常稳定地运行。同时，社会化服务系统配予部分硬件设备，满足改造方案要求。随着社会化机构逐一接入社会化服务系统，逐步从专网服务系统中减少部分硬件设备资源，并将这些资源重新分配给社会化服务系统，以支持其运行。上述操作是一个动态的、持续的资源配置和调整过程。确保两个系统都能在并行过程中获得充足的硬件资源支持，从而为社会化机构提供稳定高效的服务。</w:t>
      </w:r>
      <w:r>
        <w:rPr>
          <w:rFonts w:ascii="宋体" w:hAnsi="宋体" w:cs="宋体"/>
          <w:spacing w:val="3"/>
          <w:szCs w:val="21"/>
        </w:rPr>
      </w:r>
      <w:r/>
    </w:p>
    <w:p>
      <w:pPr>
        <w:pStyle w:val="741"/>
        <w:ind w:firstLine="434"/>
        <w:spacing w:line="440" w:lineRule="exact"/>
        <w:rPr>
          <w:rFonts w:ascii="宋体" w:hAnsi="宋体" w:cs="宋体"/>
          <w:spacing w:val="3"/>
          <w:szCs w:val="21"/>
        </w:rPr>
      </w:pPr>
      <w:r>
        <w:rPr>
          <w:rFonts w:hint="eastAsia" w:ascii="宋体" w:hAnsi="宋体" w:cs="宋体"/>
          <w:b/>
          <w:bCs/>
          <w:spacing w:val="3"/>
          <w:szCs w:val="21"/>
        </w:rPr>
        <w:t xml:space="preserve">2.3社会化服务系统应用部署</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1、环境安装：安装相关软件环境。</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操作系统组件安装：安装组件：gcc、gcc++、zip/unzip/tar、nettools、sar、wget、lscpu、telnet、vim。</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磁盘分配：操作系统磁盘分区时，保证/home/目录有足额的磁盘空间。</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操作系统调优：优化操作系统最大连接数，防止too many open files；调优操作系统TCP协议；优化配置SSH协议。</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时钟同步：所有服务器均需要设置时钟同步，避免因时钟不同步导致缓存过期等等不必要问题。</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2、重建数据库环境</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分库分表：不同的数据库服务器上单独创建数据库实例和用户的方式进行数据库初始化。</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ACL配置：创建ACL策略文件；添加访问权限到策略表；添加网络访问白名单IP；分配V_$database 查询权限；将业务数据库用户、添加到访问策略表。</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3、系统组件安装</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社会化服务系统包括四个nginx反向代理：Nginx反向代理应使用三个不同节点部署配置，以便保证系统并发性能，其中frm-intgw-service与frm-tragw-service共用一个nginx，使用不同的匹配路径作区分。</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系统应用nginx代理：微服务frm-sysgw-service反向代理，用于系统登录、业务办理。</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内部网关nginx代理：微服务frm-intgw-service反向代理，用于内部服务之间的跨平台横向调用。</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外挂网关nginx代理：微服务frm-extgw-service反向代理，用于外挂软件接口调用统一入口。</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数据交换网关nginx代理：微服务frm-tragw-service反向代理，用于内外网数据交换时边界访问专网/公安网入口。</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Redis集群：Redis采用集群部署模式，应至少配置3个集群节点，并设置好账号密码以保证安全。</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FastDFS文件系统：分布式文件系统用于业务办理照片存储使用，替代原MongoDB，至少需要2个服务节点，支持动态扩容，扩容时保持节点数量为偶数个。</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NewTrans数据交换：专网与公安网数据交换时发送、接收数据，需在公安网端与专网端各部署一套，包括frm-trans-service、frm-tragw-service微服务、rabbitMq等组件。需要配置frm-tragw-service微服务反向代理。</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Edge数据交换边界：用于专网与公安网数据交换，基于光闸或其他物理交换设备搬运数据，并传递给newTrans数据交换组件完成最终数据落地，包括FTP、oracle数据库、光闸设备以及科研所研发的frm-edge-service应用。</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4、系统发布</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配置tms_frm数据库信息及ftp信息。</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发布系统配置好数据库信息与FTP信息后，登记备案相关信息。</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数据源配置，包括实地址与虚地址。</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发布依赖包与微服务包。</w:t>
      </w:r>
      <w:r>
        <w:rPr>
          <w:rFonts w:ascii="宋体" w:hAnsi="宋体" w:cs="宋体"/>
          <w:spacing w:val="3"/>
          <w:szCs w:val="21"/>
        </w:rPr>
      </w:r>
      <w:r/>
    </w:p>
    <w:p>
      <w:pPr>
        <w:pStyle w:val="741"/>
        <w:ind w:firstLine="434"/>
        <w:spacing w:line="440" w:lineRule="exact"/>
        <w:rPr>
          <w:rFonts w:ascii="宋体" w:hAnsi="宋体" w:cs="宋体"/>
          <w:b/>
          <w:bCs/>
          <w:spacing w:val="3"/>
          <w:szCs w:val="21"/>
        </w:rPr>
      </w:pPr>
      <w:r>
        <w:rPr>
          <w:rFonts w:hint="eastAsia" w:ascii="宋体" w:hAnsi="宋体" w:cs="宋体"/>
          <w:b/>
          <w:bCs/>
          <w:spacing w:val="3"/>
          <w:szCs w:val="21"/>
        </w:rPr>
        <w:t xml:space="preserve">2.4社会化数据交换</w:t>
      </w:r>
      <w:r>
        <w:rPr>
          <w:rFonts w:ascii="宋体" w:hAnsi="宋体" w:cs="宋体"/>
          <w:b/>
          <w:bCs/>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数据交换传输服务由TCP负载均衡软件、RabbitMQ集群、传输服务、传输网关、边界网关（含反向代理）五个组件构成。传输服务和传输网关均为微服务架构。</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边界网关单独部署在边界网络环境，用于实现公安网/专网双向数据交换，边界网关是一个独立的数据交换服务，基于JAVA8运行，分别部署在【专网】与【公安网】两端边界网络环境下运行。</w:t>
      </w:r>
      <w:bookmarkStart w:id="61" w:name="_Toc15311"/>
      <w:r>
        <w:rPr>
          <w:rFonts w:ascii="宋体" w:hAnsi="宋体" w:cs="宋体"/>
          <w:spacing w:val="3"/>
          <w:szCs w:val="21"/>
        </w:rPr>
      </w:r>
      <w:r/>
    </w:p>
    <w:p>
      <w:pPr>
        <w:pStyle w:val="741"/>
        <w:ind w:firstLine="434"/>
        <w:spacing w:line="440" w:lineRule="exact"/>
        <w:rPr>
          <w:rFonts w:ascii="宋体" w:hAnsi="宋体" w:cs="宋体"/>
          <w:b/>
          <w:bCs/>
          <w:spacing w:val="3"/>
          <w:szCs w:val="21"/>
        </w:rPr>
      </w:pPr>
      <w:r>
        <w:rPr>
          <w:rFonts w:hint="eastAsia" w:ascii="宋体" w:hAnsi="宋体" w:cs="宋体"/>
          <w:b/>
          <w:bCs/>
          <w:spacing w:val="3"/>
          <w:szCs w:val="21"/>
        </w:rPr>
        <w:t xml:space="preserve">2.5 社会化系统对接联调</w:t>
      </w:r>
      <w:r>
        <w:rPr>
          <w:rFonts w:ascii="宋体" w:hAnsi="宋体" w:cs="宋体"/>
          <w:b/>
          <w:bCs/>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配合社会化机构外挂软件改造联调,配合所有检测站现场更新升级检验系统，与社会化服务系统和音视频切片管理系统分别对接联调，并进行业务测试，完成新车/在用车、定检/非定检、每种车型、每条检测线/检验项目的全覆盖测试。配合所有登记服务站（包括银行、法院、金融机构、汽车报废企业）进行升级、联调，为每家登记服务站安装调试新版查验App,新版QT插件，并进行业务测试覆盖。社会化机构逐一切换,登记服务站、检测站等机构为单位分批逐步实施。</w:t>
      </w:r>
      <w:r>
        <w:rPr>
          <w:rFonts w:ascii="宋体" w:hAnsi="宋体" w:cs="宋体"/>
          <w:spacing w:val="3"/>
          <w:szCs w:val="21"/>
        </w:rPr>
      </w:r>
      <w:r/>
    </w:p>
    <w:p>
      <w:pPr>
        <w:pStyle w:val="741"/>
        <w:ind w:firstLine="434"/>
        <w:spacing w:line="440" w:lineRule="exact"/>
        <w:rPr>
          <w:rFonts w:ascii="宋体" w:hAnsi="宋体" w:cs="宋体"/>
          <w:b/>
          <w:bCs/>
          <w:spacing w:val="3"/>
          <w:szCs w:val="21"/>
        </w:rPr>
      </w:pPr>
      <w:r>
        <w:rPr>
          <w:rFonts w:hint="eastAsia" w:ascii="宋体" w:hAnsi="宋体" w:cs="宋体"/>
          <w:b/>
          <w:bCs/>
          <w:spacing w:val="3"/>
          <w:szCs w:val="21"/>
        </w:rPr>
        <w:t xml:space="preserve">2.6系统集成实施要求</w:t>
      </w:r>
      <w:r>
        <w:rPr>
          <w:rFonts w:ascii="宋体" w:hAnsi="宋体" w:cs="宋体"/>
          <w:b/>
          <w:bCs/>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系统架构</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公安交通管理综合应用平台社会化服务系统由社会化服务系统、跨网交换服务系统、统一终端设备管理软件和理论考试桌面软件组成。</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（1）社会化服务系统。</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（2）跨网交换服务系统。</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（3）统一终端设备管理软件</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（4）理论考试桌面软件。</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2. 质量目标与标准</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设定明确的质量目标：确保所有集成的信息系统符合既定的功能性和非功能性需求。</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遵循行业标准和规范：如ISO/IEC 20000（IT服务管理体系）、ISO 27001（信息安全管理体系）等。</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3. 项目管理与团队组建</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建立项目管理结构：包括项目经理、技术专家、质量保证人员等角色，明确各自的职责。</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培训与发展：确保团队成员具备必要的技能和知识，特别是对所集成系统的技术细节的理解。</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4. 设备选型与采购</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选择合适的硬件设备：根据设计方案选择兼容性强、性能可靠的硬件设备。</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供应商审核：对设备供应商进行严格的资质审查，确保其提供的产品和服务质量。</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5. 安装与配置</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标准化安装流程：按照最佳实践指导安装硬件设备，确保每一步都符合既定标准。</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参数配置优化：根据实际环境调整设备参数，优化系统性能。</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6. 测试与验证</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初步测试：在集成前对单个组件进行测试，确保每个部分都能正常工作。</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集成测试：完成硬件组装后进行全面的集成测试，检查各组件之间的交互是否顺畅。</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安全测试：特别关注数据保护和网络安全，确保系统能够抵御潜在的安全威胁。</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7. 文档编制</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详细记录整个过程：从需求收集到最终部署的所有步骤都应有详细的文档支持，便于后续维护和升级。</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8. 维护与支持</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提供持续的支持服务：为客户提供长期的技术支持和维护服务，及时解决出现的问题。</w:t>
      </w:r>
      <w:r>
        <w:rPr>
          <w:rFonts w:ascii="宋体" w:hAnsi="宋体" w:cs="宋体"/>
          <w:spacing w:val="3"/>
          <w:szCs w:val="21"/>
        </w:rPr>
      </w:r>
      <w:r/>
    </w:p>
    <w:p>
      <w:pPr>
        <w:pStyle w:val="741"/>
        <w:ind w:firstLine="434"/>
        <w:spacing w:line="440" w:lineRule="exact"/>
        <w:rPr>
          <w:rFonts w:ascii="宋体" w:hAnsi="宋体" w:cs="宋体"/>
          <w:b/>
          <w:bCs/>
          <w:spacing w:val="3"/>
          <w:szCs w:val="21"/>
        </w:rPr>
      </w:pPr>
      <w:r>
        <w:rPr>
          <w:rFonts w:ascii="宋体" w:hAnsi="宋体" w:cs="宋体"/>
          <w:b/>
          <w:bCs/>
          <w:spacing w:val="3"/>
          <w:szCs w:val="21"/>
        </w:rPr>
      </w:r>
      <w:r/>
    </w:p>
    <w:p>
      <w:pPr>
        <w:pStyle w:val="741"/>
        <w:ind w:firstLine="434"/>
        <w:spacing w:line="440" w:lineRule="exact"/>
        <w:rPr>
          <w:rFonts w:ascii="宋体" w:hAnsi="宋体" w:cs="宋体"/>
          <w:b/>
          <w:bCs/>
          <w:spacing w:val="3"/>
          <w:szCs w:val="21"/>
        </w:rPr>
      </w:pPr>
      <w:r>
        <w:rPr>
          <w:rFonts w:ascii="宋体" w:hAnsi="宋体" w:cs="宋体"/>
          <w:b/>
          <w:bCs/>
          <w:spacing w:val="3"/>
          <w:szCs w:val="21"/>
        </w:rPr>
      </w:r>
      <w:r/>
    </w:p>
    <w:p>
      <w:pPr>
        <w:pStyle w:val="741"/>
        <w:ind w:firstLine="434"/>
        <w:spacing w:line="440" w:lineRule="exact"/>
        <w:rPr>
          <w:rFonts w:ascii="宋体" w:hAnsi="宋体" w:cs="宋体"/>
          <w:b/>
          <w:bCs/>
          <w:spacing w:val="3"/>
          <w:szCs w:val="21"/>
        </w:rPr>
      </w:pPr>
      <w:r>
        <w:rPr>
          <w:rFonts w:ascii="宋体" w:hAnsi="宋体" w:cs="宋体"/>
          <w:b/>
          <w:bCs/>
          <w:spacing w:val="3"/>
          <w:szCs w:val="21"/>
        </w:rPr>
      </w:r>
      <w:r/>
    </w:p>
    <w:p>
      <w:pPr>
        <w:pStyle w:val="741"/>
        <w:ind w:firstLine="434"/>
        <w:spacing w:line="440" w:lineRule="exact"/>
        <w:rPr>
          <w:rFonts w:ascii="宋体" w:hAnsi="宋体" w:cs="宋体"/>
          <w:b/>
          <w:bCs/>
          <w:spacing w:val="3"/>
          <w:szCs w:val="21"/>
        </w:rPr>
      </w:pPr>
      <w:r>
        <w:rPr>
          <w:rFonts w:ascii="宋体" w:hAnsi="宋体" w:cs="宋体"/>
          <w:b/>
          <w:bCs/>
          <w:spacing w:val="3"/>
          <w:szCs w:val="21"/>
        </w:rPr>
      </w:r>
      <w:r/>
    </w:p>
    <w:p>
      <w:pPr>
        <w:pStyle w:val="741"/>
        <w:ind w:firstLine="434"/>
        <w:spacing w:line="440" w:lineRule="exact"/>
        <w:rPr>
          <w:rFonts w:ascii="宋体" w:hAnsi="宋体" w:cs="宋体"/>
          <w:spacing w:val="3"/>
          <w:szCs w:val="21"/>
        </w:rPr>
      </w:pPr>
      <w:r>
        <w:rPr>
          <w:rFonts w:hint="eastAsia" w:ascii="宋体" w:hAnsi="宋体" w:cs="宋体"/>
          <w:b/>
          <w:bCs/>
          <w:spacing w:val="3"/>
          <w:szCs w:val="21"/>
        </w:rPr>
        <w:t xml:space="preserve">2.7社会化服务系统建设清单</w:t>
      </w:r>
      <w:bookmarkEnd w:id="61"/>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本项目为交钥匙工程，本项目报价包括全部费用。</w:t>
      </w:r>
      <w:r>
        <w:rPr>
          <w:rFonts w:ascii="宋体" w:hAnsi="宋体" w:cs="宋体"/>
          <w:spacing w:val="3"/>
          <w:szCs w:val="21"/>
        </w:rPr>
      </w:r>
      <w:r/>
    </w:p>
    <w:tbl>
      <w:tblPr>
        <w:tblW w:w="91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732"/>
        <w:gridCol w:w="6420"/>
        <w:gridCol w:w="709"/>
        <w:gridCol w:w="666"/>
      </w:tblGrid>
      <w:tr>
        <w:trPr>
          <w:trHeight w:val="585"/>
        </w:trPr>
        <w:tc>
          <w:tcPr>
            <w:shd w:val="clear" w:color="auto" w:fill="d8d8d8"/>
            <w:tcW w:w="649" w:type="dxa"/>
            <w:vAlign w:val="center"/>
            <w:textDirection w:val="lrTb"/>
            <w:noWrap w:val="false"/>
          </w:tcPr>
          <w:p>
            <w:pPr>
              <w:pStyle w:val="958"/>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shd w:val="clear" w:color="auto" w:fill="d8d8d8"/>
            <w:tcW w:w="732" w:type="dxa"/>
            <w:vAlign w:val="center"/>
            <w:textDirection w:val="lrTb"/>
            <w:noWrap w:val="false"/>
          </w:tcPr>
          <w:p>
            <w:pPr>
              <w:pStyle w:val="958"/>
              <w:jc w:val="center"/>
              <w:widowControl/>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shd w:val="clear" w:color="auto" w:fill="d8d8d8"/>
            <w:tcW w:w="6420" w:type="dxa"/>
            <w:vAlign w:val="center"/>
            <w:textDirection w:val="lrTb"/>
            <w:noWrap w:val="false"/>
          </w:tcPr>
          <w:p>
            <w:pPr>
              <w:pStyle w:val="741"/>
              <w:jc w:val="center"/>
              <w:widowControl/>
              <w:rPr>
                <w:rFonts w:ascii="宋体" w:hAnsi="宋体" w:cs="宋体"/>
                <w:szCs w:val="21"/>
              </w:rPr>
            </w:pPr>
            <w:r>
              <w:rPr>
                <w:rFonts w:hint="eastAsia" w:ascii="宋体" w:hAnsi="宋体" w:cs="宋体"/>
                <w:szCs w:val="21"/>
              </w:rPr>
              <w:t xml:space="preserve">型号参数</w:t>
            </w:r>
            <w:r>
              <w:rPr>
                <w:rFonts w:ascii="宋体" w:hAnsi="宋体" w:cs="宋体"/>
                <w:szCs w:val="21"/>
              </w:rPr>
            </w:r>
            <w:r/>
          </w:p>
        </w:tc>
        <w:tc>
          <w:tcPr>
            <w:shd w:val="clear" w:color="auto" w:fill="d8d8d8"/>
            <w:tcW w:w="709" w:type="dxa"/>
            <w:vAlign w:val="center"/>
            <w:textDirection w:val="lrTb"/>
            <w:noWrap w:val="false"/>
          </w:tcPr>
          <w:p>
            <w:pPr>
              <w:pStyle w:val="741"/>
              <w:jc w:val="center"/>
              <w:widowControl/>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shd w:val="clear" w:color="auto" w:fill="d8d8d8"/>
            <w:tcW w:w="666" w:type="dxa"/>
            <w:vAlign w:val="center"/>
            <w:textDirection w:val="lrTb"/>
            <w:noWrap w:val="false"/>
          </w:tcPr>
          <w:p>
            <w:pPr>
              <w:pStyle w:val="741"/>
              <w:jc w:val="center"/>
              <w:widowControl/>
              <w:rPr>
                <w:rFonts w:ascii="宋体" w:hAnsi="宋体" w:cs="宋体"/>
                <w:szCs w:val="21"/>
              </w:rPr>
            </w:pPr>
            <w:r>
              <w:rPr>
                <w:rFonts w:hint="eastAsia" w:ascii="宋体" w:hAnsi="宋体" w:cs="宋体"/>
                <w:szCs w:val="21"/>
              </w:rPr>
              <w:t xml:space="preserve">单位</w:t>
            </w:r>
            <w:r>
              <w:rPr>
                <w:rFonts w:ascii="宋体" w:hAnsi="宋体" w:cs="宋体"/>
                <w:szCs w:val="21"/>
              </w:rPr>
            </w:r>
            <w:r/>
          </w:p>
        </w:tc>
      </w:tr>
      <w:tr>
        <w:trPr>
          <w:trHeight w:val="585"/>
        </w:trPr>
        <w:tc>
          <w:tcPr>
            <w:tcW w:w="649" w:type="dxa"/>
            <w:vAlign w:val="center"/>
            <w:textDirection w:val="lrTb"/>
            <w:noWrap w:val="false"/>
          </w:tcPr>
          <w:p>
            <w:pPr>
              <w:pStyle w:val="958"/>
              <w:numPr>
                <w:ilvl w:val="0"/>
                <w:numId w:val="6"/>
              </w:numPr>
              <w:widowControl/>
              <w:rPr>
                <w:rFonts w:ascii="宋体" w:hAnsi="宋体" w:cs="宋体"/>
                <w:szCs w:val="21"/>
              </w:rPr>
            </w:pPr>
            <w:r>
              <w:rPr>
                <w:rFonts w:ascii="宋体" w:hAnsi="宋体" w:cs="宋体"/>
                <w:szCs w:val="21"/>
              </w:rPr>
            </w:r>
            <w:r/>
          </w:p>
        </w:tc>
        <w:tc>
          <w:tcPr>
            <w:tcW w:w="732" w:type="dxa"/>
            <w:vAlign w:val="center"/>
            <w:textDirection w:val="lrTb"/>
            <w:noWrap w:val="false"/>
          </w:tcPr>
          <w:p>
            <w:pPr>
              <w:pStyle w:val="741"/>
              <w:jc w:val="center"/>
              <w:widowControl/>
              <w:rPr>
                <w:rFonts w:ascii="宋体" w:hAnsi="宋体" w:cs="宋体"/>
                <w:szCs w:val="21"/>
              </w:rPr>
            </w:pPr>
            <w:r>
              <w:rPr>
                <w:rFonts w:hint="eastAsia" w:ascii="宋体" w:hAnsi="宋体" w:cs="宋体"/>
                <w:szCs w:val="21"/>
              </w:rPr>
              <w:t xml:space="preserve">单向安全传输系统</w:t>
            </w:r>
            <w:r>
              <w:rPr>
                <w:rFonts w:ascii="宋体" w:hAnsi="宋体" w:cs="宋体"/>
                <w:szCs w:val="21"/>
              </w:rPr>
            </w:r>
            <w:r/>
          </w:p>
        </w:tc>
        <w:tc>
          <w:tcPr>
            <w:tcW w:w="6420" w:type="dxa"/>
            <w:vAlign w:val="center"/>
            <w:textDirection w:val="lrTb"/>
            <w:noWrap w:val="false"/>
          </w:tcPr>
          <w:p>
            <w:pPr>
              <w:pStyle w:val="741"/>
              <w:jc w:val="left"/>
              <w:widowControl/>
              <w:rPr>
                <w:rFonts w:ascii="宋体" w:hAnsi="宋体" w:cs="宋体"/>
                <w:szCs w:val="21"/>
              </w:rPr>
            </w:pPr>
            <w:r>
              <w:rPr>
                <w:rFonts w:hint="eastAsia" w:ascii="宋体" w:hAnsi="宋体" w:cs="宋体"/>
                <w:szCs w:val="21"/>
              </w:rPr>
              <w:t xml:space="preserve">一套3台设备（投标人须列明每台设备品牌型号）</w:t>
            </w:r>
            <w:r>
              <w:rPr>
                <w:rFonts w:ascii="宋体" w:hAnsi="宋体" w:cs="宋体"/>
                <w:szCs w:val="21"/>
              </w:rPr>
            </w:r>
            <w:r/>
          </w:p>
          <w:p>
            <w:pPr>
              <w:pStyle w:val="741"/>
              <w:jc w:val="left"/>
              <w:widowControl/>
              <w:rPr>
                <w:rFonts w:ascii="宋体" w:hAnsi="宋体" w:cs="宋体"/>
                <w:b/>
                <w:szCs w:val="21"/>
              </w:rPr>
            </w:pPr>
            <w:r>
              <w:rPr>
                <w:rFonts w:hint="eastAsia" w:ascii="宋体" w:hAnsi="宋体" w:cs="宋体"/>
                <w:b/>
                <w:szCs w:val="21"/>
              </w:rPr>
              <w:t xml:space="preserve">单向安全传输系统-前置机（千兆）</w:t>
            </w:r>
            <w:r>
              <w:rPr>
                <w:rFonts w:ascii="宋体" w:hAnsi="宋体" w:cs="宋体"/>
                <w:b/>
                <w:szCs w:val="21"/>
              </w:rPr>
            </w:r>
            <w:r/>
          </w:p>
          <w:p>
            <w:pPr>
              <w:pStyle w:val="741"/>
              <w:jc w:val="left"/>
              <w:widowControl/>
              <w:rPr>
                <w:rFonts w:ascii="宋体" w:hAnsi="宋体" w:cs="宋体"/>
                <w:szCs w:val="21"/>
              </w:rPr>
            </w:pPr>
            <w:r>
              <w:rPr>
                <w:rFonts w:hint="eastAsia" w:ascii="宋体" w:hAnsi="宋体" w:cs="宋体"/>
                <w:szCs w:val="21"/>
              </w:rPr>
              <w:t xml:space="preserve">硬件：</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1、机箱：2U</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2、网口：4个千兆电口</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3、电源：550W电源</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4、内存：64GB</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5、处理器: 国产处理器；</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6、操作系统: 国产操作系统；</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7、硬盘：4TB</w:t>
            </w:r>
            <w:r>
              <w:rPr>
                <w:rFonts w:ascii="宋体" w:hAnsi="宋体" w:cs="宋体"/>
                <w:szCs w:val="21"/>
              </w:rPr>
            </w:r>
            <w:r/>
          </w:p>
          <w:p>
            <w:pPr>
              <w:pStyle w:val="741"/>
              <w:jc w:val="left"/>
              <w:widowControl/>
              <w:rPr>
                <w:rFonts w:ascii="宋体" w:hAnsi="宋体" w:cs="宋体"/>
                <w:b/>
                <w:szCs w:val="21"/>
              </w:rPr>
            </w:pPr>
            <w:r>
              <w:rPr>
                <w:rFonts w:hint="eastAsia" w:ascii="宋体" w:hAnsi="宋体" w:cs="宋体"/>
                <w:b/>
                <w:szCs w:val="21"/>
              </w:rPr>
              <w:t xml:space="preserve">单向安全传输系统-后置机（千兆）</w:t>
            </w:r>
            <w:r>
              <w:rPr>
                <w:rFonts w:ascii="宋体" w:hAnsi="宋体" w:cs="宋体"/>
                <w:b/>
                <w:szCs w:val="21"/>
              </w:rPr>
            </w:r>
            <w:r/>
          </w:p>
          <w:p>
            <w:pPr>
              <w:pStyle w:val="741"/>
              <w:jc w:val="left"/>
              <w:widowControl/>
              <w:rPr>
                <w:rFonts w:ascii="宋体" w:hAnsi="宋体" w:cs="宋体"/>
                <w:szCs w:val="21"/>
              </w:rPr>
            </w:pPr>
            <w:r>
              <w:rPr>
                <w:rFonts w:hint="eastAsia" w:ascii="宋体" w:hAnsi="宋体" w:cs="宋体"/>
                <w:szCs w:val="21"/>
              </w:rPr>
              <w:t xml:space="preserve">硬件：</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1、机箱：2U</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2、网口：4个千兆电口</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3、电源：550W电源</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4、内存：64GB</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5、处理器:国产处理器；</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6、操作系统: 国产操作系统；</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7、硬盘：4TB</w:t>
            </w:r>
            <w:r>
              <w:rPr>
                <w:rFonts w:ascii="宋体" w:hAnsi="宋体" w:cs="宋体"/>
                <w:szCs w:val="21"/>
              </w:rPr>
            </w:r>
            <w:r/>
          </w:p>
          <w:p>
            <w:pPr>
              <w:pStyle w:val="741"/>
              <w:jc w:val="left"/>
              <w:widowControl/>
              <w:rPr>
                <w:rFonts w:ascii="宋体" w:hAnsi="宋体" w:cs="宋体"/>
                <w:b/>
                <w:szCs w:val="21"/>
              </w:rPr>
            </w:pPr>
            <w:r>
              <w:rPr>
                <w:rFonts w:hint="eastAsia" w:ascii="宋体" w:hAnsi="宋体" w:cs="宋体"/>
                <w:b/>
                <w:szCs w:val="21"/>
              </w:rPr>
              <w:t xml:space="preserve">单向安全传输系统-隔离设备（千兆）</w:t>
            </w:r>
            <w:r>
              <w:rPr>
                <w:rFonts w:ascii="宋体" w:hAnsi="宋体" w:cs="宋体"/>
                <w:b/>
                <w:szCs w:val="21"/>
              </w:rPr>
            </w:r>
            <w:r/>
          </w:p>
          <w:p>
            <w:pPr>
              <w:pStyle w:val="741"/>
              <w:jc w:val="left"/>
              <w:widowControl/>
              <w:rPr>
                <w:rFonts w:ascii="宋体" w:hAnsi="宋体" w:cs="宋体"/>
                <w:szCs w:val="21"/>
              </w:rPr>
            </w:pPr>
            <w:r>
              <w:rPr>
                <w:rFonts w:hint="eastAsia" w:ascii="宋体" w:hAnsi="宋体" w:cs="宋体"/>
                <w:szCs w:val="21"/>
              </w:rPr>
              <w:t xml:space="preserve">1、机箱：2U</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2、网口：6个千兆电口，</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3、电源：400W电源</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4、内存：32GB</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5、处理器: 国产处理器；</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6、操作系统: 国产操作系统；</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7、硬盘：4TB</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功能：</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一、数据库同步功能</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1、支持Oracle、SQLServer、MySQL数据库间同库同构同步，及达梦、南大通用、人大金仓等国产数据库同库同构同步。</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2、支持Oracle、SQLServer、MySQL不同数据库间不同表名或表结构的异构同步，及达梦、南大通用、人大金仓等国产数据库的异构同步</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3、支持Oracle 8i、9i、10G、11G、12C；支持SQLServer2000、2005、2008；支持同构MySQL8.0及以下版本数据库；</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4、支持postgreSQL数据库同步功能；</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5、支持同构和异构数据库的全量、增量和先全量后增量的同步模式。</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6、支持upsert模式（即：insert/update操作时，目标数据库存在即更新，不存在即插入）。</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7、支持行级日志等细粒度的数据行为审计。</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8、支持单任务创建最大1024张表。</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9、支持数据库单表最大256个字段映射。</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10、支持数据库服务检测，检测数据库服务和同步的表是否存在异常。</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二、文件传输功能</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1、支持基于FTP，SMB，NFS协议的文件传输功能，可面向单点及多点主动推送及主动获取应用；支持基于TCP/UDP的文件到达通知。</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2、支持Serv-U、VSFTP、IIS、FileZilla等多种主流FTP服务器。</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3、支持基于子目录的文件传输。</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4、支持目标端文件推送失败重传功能。</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5、支持15余种文件格式的检查，主要包括：txt、exe、pdf、tar、doc、ppt、excel、zip、rar、bmp、jpg、tif、tga、gif、png、tgz、docx等；支持txt文本文件内容关键字过滤。</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6、图文转换：支持对传输通过的XML，TXT文本文件进行图文转换。</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7、支持基于MD5算法的文件完整性校验。</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8、支持对传输通过的JPG图片文件做内容检查，去除图片中非数据区的异常或不可见字符，防止夹带敏感或涉密信息。</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9、XML格式检查：支持对传输通过的XML文件做格式检查。检查XML格式是否合乎XML的语法规则。</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10、支持文本文件的内容过滤，对敏感信息的文件进行拦截阻断，并进行日志报警。</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11、支持FTP服务检测，检测FTP服务器是否连接顺畅，是否具有相应FTP服务器工作目录的操作权限。</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12、支持文件压缩、前后置设备间传输加解密、病毒扫描及病毒库手动升级。</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13、支持FTP、SMBA、NFS协议的识别，支持对不符合格式的数据流数据进行拒绝对接处理。</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三、支持RabbitMQ消息传输功能</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四、其他功能</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1、支持安全管理员、系统管理员、系统审计员三权分立。</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2、身份认证：支持用户名/口令、数字证书等多种认证管理方式，支持基于用户名/密码+公安数字证书的双因子认证方式。</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3、支持业务服务器IP地址绑定的接入认证。</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4、支持导入服务器、导入前置机和隔离光闸的唯一性认证。</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5、支持基于文件等级的强制访问。</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6、支持基于ntpd服务的时间同步。</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7、支持业务数据监控、安全审计与告警以及运维监控管理及上报监管。</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8、支持基于smtp协议的邮件告警。</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9、支持硬件运行状态监控，如：CPU、内存、硬盘等。</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10、支持对业务流量进行统计；支持对通道故障进行报警（红字展示报警）。</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11、支持基于IP地址和端口、口令密码的身份认证，并基于文件等级的强制访问控制，确保最小授权。支持对数据业务的注册、查询、变更和注销。</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12、自身具备监管模块，可对系统状态进行监管，及时报警，保证单向安全传输系统工作的稳定性及安全性，支持上报边界监管系统及标准syslog服务器。</w:t>
            </w:r>
            <w:r>
              <w:rPr>
                <w:rFonts w:ascii="宋体" w:hAnsi="宋体" w:cs="宋体"/>
                <w:szCs w:val="21"/>
              </w:rPr>
            </w:r>
            <w:r/>
          </w:p>
          <w:p>
            <w:pPr>
              <w:pStyle w:val="741"/>
              <w:spacing w:after="120"/>
              <w:rPr>
                <w:rFonts w:ascii="宋体" w:hAnsi="宋体" w:cs="宋体"/>
                <w:szCs w:val="21"/>
              </w:rPr>
            </w:pPr>
            <w:r>
              <w:rPr>
                <w:rFonts w:hint="eastAsia" w:ascii="宋体" w:hAnsi="宋体" w:cs="宋体"/>
                <w:szCs w:val="21"/>
              </w:rPr>
              <w:t xml:space="preserve">13、支持国密传输加密。</w:t>
            </w:r>
            <w:r>
              <w:rPr>
                <w:rFonts w:ascii="宋体" w:hAnsi="宋体" w:cs="宋体"/>
                <w:szCs w:val="21"/>
              </w:rPr>
            </w:r>
            <w:r/>
          </w:p>
          <w:p>
            <w:pPr>
              <w:pStyle w:val="741"/>
              <w:spacing w:after="120"/>
              <w:rPr>
                <w:rFonts w:ascii="宋体" w:hAnsi="宋体" w:cs="宋体"/>
                <w:b/>
                <w:bCs/>
                <w:szCs w:val="21"/>
              </w:rPr>
            </w:pPr>
            <w:r>
              <w:rPr>
                <w:rFonts w:hint="eastAsia" w:ascii="宋体" w:hAnsi="宋体" w:cs="宋体"/>
                <w:szCs w:val="21"/>
              </w:rPr>
              <w:t xml:space="preserve">★14、支持与扬州市公安局现有边界监管平台无缝对接。</w:t>
            </w:r>
            <w:r>
              <w:rPr>
                <w:rFonts w:hint="eastAsia" w:ascii="宋体" w:hAnsi="宋体" w:cs="宋体"/>
                <w:b/>
                <w:bCs/>
                <w:szCs w:val="21"/>
              </w:rPr>
              <w:t xml:space="preserve">（提供对接承诺函）</w:t>
            </w:r>
            <w:r>
              <w:rPr>
                <w:rFonts w:ascii="宋体" w:hAnsi="宋体" w:cs="宋体"/>
                <w:b/>
                <w:bCs/>
                <w:szCs w:val="21"/>
              </w:rPr>
            </w:r>
            <w:r/>
          </w:p>
          <w:p>
            <w:pPr>
              <w:pStyle w:val="741"/>
              <w:spacing w:after="120"/>
              <w:rPr>
                <w:rFonts w:ascii="宋体" w:hAnsi="宋体" w:cs="宋体"/>
                <w:b/>
                <w:bCs/>
                <w:szCs w:val="21"/>
              </w:rPr>
            </w:pPr>
            <w:r>
              <w:rPr>
                <w:rFonts w:hint="eastAsia" w:ascii="宋体" w:hAnsi="宋体" w:cs="宋体"/>
                <w:szCs w:val="21"/>
              </w:rPr>
              <w:t xml:space="preserve">★15、支持标识和鉴别”功能，符合《信息安全技术网络和终端隔离产品安全技术要求GB/T20279-2015》中相关要求。</w:t>
            </w:r>
            <w:r>
              <w:rPr>
                <w:rFonts w:hint="eastAsia" w:ascii="宋体" w:hAnsi="宋体" w:cs="宋体"/>
                <w:b/>
                <w:bCs/>
                <w:szCs w:val="21"/>
              </w:rPr>
              <w:t xml:space="preserve">（提供公安部属机构出具的检测报告。原件扫描上传）</w:t>
            </w:r>
            <w:r>
              <w:rPr>
                <w:rFonts w:ascii="宋体" w:hAnsi="宋体" w:cs="宋体"/>
                <w:b/>
                <w:bCs/>
                <w:szCs w:val="21"/>
              </w:rPr>
            </w:r>
            <w:r/>
          </w:p>
          <w:p>
            <w:pPr>
              <w:pStyle w:val="741"/>
              <w:spacing w:after="120"/>
              <w:rPr>
                <w:rFonts w:ascii="宋体" w:hAnsi="宋体" w:cs="宋体"/>
                <w:b/>
                <w:bCs/>
                <w:szCs w:val="21"/>
              </w:rPr>
            </w:pPr>
            <w:r>
              <w:rPr>
                <w:rFonts w:hint="eastAsia" w:ascii="宋体" w:hAnsi="宋体" w:cs="宋体"/>
                <w:szCs w:val="21"/>
              </w:rPr>
              <w:t xml:space="preserve">★16、具备访问控制功能，支持增强的信息流控制、支持不可旁路部署，支持强制访问控制、支持数据完整性保证。</w:t>
            </w:r>
            <w:r>
              <w:rPr>
                <w:rFonts w:hint="eastAsia" w:ascii="宋体" w:hAnsi="宋体" w:cs="宋体"/>
                <w:b/>
                <w:bCs/>
                <w:szCs w:val="21"/>
              </w:rPr>
              <w:t xml:space="preserve">（提供公安部属机构出具的检测报告。原件扫描上传）</w:t>
            </w:r>
            <w:r>
              <w:rPr>
                <w:rFonts w:ascii="宋体" w:hAnsi="宋体" w:cs="宋体"/>
                <w:b/>
                <w:bCs/>
                <w:szCs w:val="21"/>
              </w:rPr>
            </w:r>
            <w:r/>
          </w:p>
          <w:p>
            <w:pPr>
              <w:pStyle w:val="741"/>
              <w:spacing w:after="120"/>
              <w:rPr>
                <w:rFonts w:ascii="宋体" w:hAnsi="宋体" w:cs="宋体"/>
                <w:b/>
                <w:bCs/>
                <w:szCs w:val="21"/>
              </w:rPr>
            </w:pPr>
            <w:r>
              <w:rPr>
                <w:rFonts w:hint="eastAsia" w:ascii="宋体" w:hAnsi="宋体" w:cs="宋体"/>
                <w:szCs w:val="21"/>
              </w:rPr>
              <w:t xml:space="preserve">★17、具备标识和鉴别功能，支持安全属性定义、支持敏感标记、支持多鉴别机制、支持口令强度检测。</w:t>
            </w:r>
            <w:r>
              <w:rPr>
                <w:rFonts w:hint="eastAsia" w:ascii="宋体" w:hAnsi="宋体" w:cs="宋体"/>
                <w:b/>
                <w:bCs/>
                <w:szCs w:val="21"/>
              </w:rPr>
              <w:t xml:space="preserve">（提供公安部属机构出具的检测报告。原件扫描上传）</w:t>
            </w:r>
            <w:r>
              <w:rPr>
                <w:rFonts w:ascii="宋体" w:hAnsi="宋体" w:cs="宋体"/>
                <w:b/>
                <w:bCs/>
                <w:szCs w:val="21"/>
              </w:rPr>
            </w:r>
            <w:r/>
          </w:p>
          <w:p>
            <w:pPr>
              <w:pStyle w:val="741"/>
              <w:spacing w:after="120"/>
              <w:rPr>
                <w:rFonts w:ascii="宋体" w:hAnsi="宋体" w:cs="宋体"/>
                <w:szCs w:val="21"/>
              </w:rPr>
            </w:pPr>
            <w:r>
              <w:rPr>
                <w:rFonts w:hint="eastAsia" w:ascii="宋体" w:hAnsi="宋体" w:cs="宋体"/>
                <w:szCs w:val="21"/>
              </w:rPr>
              <w:t xml:space="preserve">★18、具备增强的域隔离功能、具备容错检测功能。</w:t>
            </w:r>
            <w:r>
              <w:rPr>
                <w:rFonts w:hint="eastAsia" w:ascii="宋体" w:hAnsi="宋体" w:cs="宋体"/>
                <w:b/>
                <w:bCs/>
                <w:szCs w:val="21"/>
              </w:rPr>
              <w:t xml:space="preserve">（提供公安部属机构出具的检测报告。原件扫描上传）</w:t>
            </w:r>
            <w:r>
              <w:rPr>
                <w:rFonts w:ascii="宋体" w:hAnsi="宋体" w:cs="宋体"/>
                <w:szCs w:val="21"/>
              </w:rPr>
            </w:r>
            <w:r/>
          </w:p>
          <w:p>
            <w:pPr>
              <w:pStyle w:val="741"/>
              <w:spacing w:after="120"/>
              <w:rPr>
                <w:rFonts w:ascii="宋体" w:hAnsi="宋体" w:cs="宋体"/>
                <w:b/>
                <w:bCs/>
                <w:szCs w:val="21"/>
              </w:rPr>
            </w:pPr>
            <w:r>
              <w:rPr>
                <w:rFonts w:hint="eastAsia" w:ascii="宋体" w:hAnsi="宋体" w:cs="宋体"/>
                <w:szCs w:val="21"/>
              </w:rPr>
              <w:t xml:space="preserve">★19、具备IPv6双栈协议检测、协议转换功能。</w:t>
            </w:r>
            <w:r>
              <w:rPr>
                <w:rFonts w:hint="eastAsia" w:ascii="宋体" w:hAnsi="宋体" w:cs="宋体"/>
                <w:b/>
                <w:bCs/>
                <w:szCs w:val="21"/>
              </w:rPr>
              <w:t xml:space="preserve">（提供公安部属机构出具的检测报告。原件扫描上传）</w:t>
            </w:r>
            <w:r>
              <w:rPr>
                <w:rFonts w:ascii="宋体" w:hAnsi="宋体" w:cs="宋体"/>
                <w:b/>
                <w:bCs/>
                <w:szCs w:val="21"/>
              </w:rPr>
            </w:r>
            <w:r/>
          </w:p>
          <w:p>
            <w:pPr>
              <w:pStyle w:val="741"/>
              <w:spacing w:after="120"/>
              <w:rPr>
                <w:rFonts w:ascii="宋体" w:hAnsi="宋体" w:cs="宋体"/>
                <w:szCs w:val="21"/>
              </w:rPr>
            </w:pPr>
            <w:r>
              <w:rPr>
                <w:rFonts w:hint="eastAsia" w:ascii="宋体" w:hAnsi="宋体" w:cs="宋体"/>
                <w:szCs w:val="21"/>
              </w:rPr>
              <w:t xml:space="preserve">★20、产品制造商能提供基于公安网的远程巡检、远程诊断、故障排查、软件升级服务。</w:t>
            </w:r>
            <w:r>
              <w:rPr>
                <w:rFonts w:hint="eastAsia" w:ascii="宋体" w:hAnsi="宋体" w:cs="宋体"/>
                <w:b/>
                <w:bCs/>
                <w:szCs w:val="21"/>
              </w:rPr>
              <w:t xml:space="preserve">（提供可使用公安网开展上述服务的接入证明，必须标明公安网接入IP 地址，并加盖投标人公章扫描上传）</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性能：</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1、最大同步文件：支持最大同步的单个文件大小为10GB。</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2、小文件传输速率：FTP-CS模式，平均传输速率：3000个/秒。（文件大小：5KB）</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3、大文件传输速率：FTP-CS模式，数据最高传输速率：700Mbps。（文件大小：1MB）</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4、数据库传输性能：</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1）数据库到数据库交换记录数：4000条/秒。（每条记录≤1KB，oracle到oracle增量同步）</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2）数据库到数据库交换记录数：8000条/秒。（每条记录≤1KB，oracle到oracle全量同步）</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5、MQ消息传输速率：8000条/秒 。（消息≤5KB）</w:t>
            </w:r>
            <w:r>
              <w:rPr>
                <w:rFonts w:ascii="宋体" w:hAnsi="宋体" w:cs="宋体"/>
                <w:szCs w:val="21"/>
              </w:rPr>
            </w:r>
            <w:r/>
          </w:p>
        </w:tc>
        <w:tc>
          <w:tcPr>
            <w:tcW w:w="709" w:type="dxa"/>
            <w:vAlign w:val="center"/>
            <w:textDirection w:val="lrTb"/>
            <w:noWrap w:val="false"/>
          </w:tcPr>
          <w:p>
            <w:pPr>
              <w:pStyle w:val="74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666" w:type="dxa"/>
            <w:vAlign w:val="center"/>
            <w:textDirection w:val="lrTb"/>
            <w:noWrap w:val="false"/>
          </w:tcPr>
          <w:p>
            <w:pPr>
              <w:pStyle w:val="741"/>
              <w:jc w:val="center"/>
              <w:widowControl/>
              <w:rPr>
                <w:rFonts w:ascii="宋体" w:hAnsi="宋体" w:cs="宋体"/>
                <w:szCs w:val="21"/>
              </w:rPr>
            </w:pPr>
            <w:r>
              <w:rPr>
                <w:rFonts w:hint="eastAsia" w:ascii="宋体" w:hAnsi="宋体" w:cs="宋体"/>
                <w:szCs w:val="21"/>
              </w:rPr>
              <w:t xml:space="preserve">套</w:t>
            </w:r>
            <w:r>
              <w:rPr>
                <w:rFonts w:ascii="宋体" w:hAnsi="宋体" w:cs="宋体"/>
                <w:szCs w:val="21"/>
              </w:rPr>
            </w:r>
            <w:r/>
          </w:p>
        </w:tc>
      </w:tr>
      <w:tr>
        <w:trPr>
          <w:trHeight w:val="585"/>
        </w:trPr>
        <w:tc>
          <w:tcPr>
            <w:tcW w:w="649" w:type="dxa"/>
            <w:vAlign w:val="center"/>
            <w:textDirection w:val="lrTb"/>
            <w:noWrap w:val="false"/>
          </w:tcPr>
          <w:p>
            <w:pPr>
              <w:pStyle w:val="958"/>
              <w:numPr>
                <w:ilvl w:val="0"/>
                <w:numId w:val="6"/>
              </w:numPr>
              <w:widowControl/>
              <w:rPr>
                <w:rFonts w:ascii="宋体" w:hAnsi="宋体" w:cs="宋体"/>
                <w:szCs w:val="21"/>
              </w:rPr>
            </w:pPr>
            <w:r>
              <w:rPr>
                <w:rFonts w:ascii="宋体" w:hAnsi="宋体" w:cs="宋体"/>
                <w:szCs w:val="21"/>
              </w:rPr>
            </w:r>
            <w:r/>
          </w:p>
        </w:tc>
        <w:tc>
          <w:tcPr>
            <w:tcW w:w="732" w:type="dxa"/>
            <w:vAlign w:val="center"/>
            <w:textDirection w:val="lrTb"/>
            <w:noWrap w:val="false"/>
          </w:tcPr>
          <w:p>
            <w:pPr>
              <w:pStyle w:val="741"/>
              <w:jc w:val="center"/>
              <w:widowControl/>
              <w:rPr>
                <w:rFonts w:ascii="宋体" w:hAnsi="宋体" w:cs="宋体"/>
                <w:szCs w:val="21"/>
              </w:rPr>
            </w:pPr>
            <w:r>
              <w:rPr>
                <w:rFonts w:hint="eastAsia" w:ascii="宋体" w:hAnsi="宋体" w:cs="宋体"/>
                <w:szCs w:val="21"/>
              </w:rPr>
              <w:t xml:space="preserve">交换机</w:t>
            </w:r>
            <w:r>
              <w:rPr>
                <w:rFonts w:ascii="宋体" w:hAnsi="宋体" w:cs="宋体"/>
                <w:szCs w:val="21"/>
              </w:rPr>
            </w:r>
            <w:r/>
          </w:p>
        </w:tc>
        <w:tc>
          <w:tcPr>
            <w:tcW w:w="6420" w:type="dxa"/>
            <w:vAlign w:val="center"/>
            <w:textDirection w:val="lrTb"/>
            <w:noWrap w:val="false"/>
          </w:tcPr>
          <w:p>
            <w:pPr>
              <w:pStyle w:val="741"/>
              <w:jc w:val="left"/>
              <w:widowControl/>
              <w:rPr>
                <w:rFonts w:ascii="宋体" w:hAnsi="宋体" w:cs="宋体"/>
                <w:szCs w:val="21"/>
              </w:rPr>
            </w:pPr>
            <w:r>
              <w:rPr>
                <w:rFonts w:hint="eastAsia" w:ascii="宋体" w:hAnsi="宋体" w:cs="宋体"/>
                <w:szCs w:val="21"/>
              </w:rPr>
              <w:t xml:space="preserve">48个10/100/1000TX自适应电口，4个S</w:t>
            </w:r>
            <w:r>
              <w:rPr>
                <w:rFonts w:hint="eastAsia" w:ascii="宋体" w:hAnsi="宋体" w:cs="宋体"/>
                <w:szCs w:val="21"/>
              </w:rPr>
              <w:t xml:space="preserve">FP口；交换容量≥336Gbps/3.36Tbps，包转发率≥132Mpps，支持基于端口的VLAN，支持QinQ，支持Voice VLAN，支持协议VLAN，支持MAC VLAN；支持命令行接口（CLI）配置，支持Telnet远程配置，支持通过Console口配置，支持SNMP（EImple Network Management Protocol），支持RMON（Remote Monitoring）告警、事件、历史记录，支持iMC网管系统，支持WEB网管，支持系统日志，支持分级告警，支持IRF，支持NTP</w:t>
            </w:r>
            <w:r>
              <w:rPr>
                <w:rFonts w:ascii="宋体" w:hAnsi="宋体" w:cs="宋体"/>
                <w:szCs w:val="21"/>
              </w:rPr>
            </w:r>
            <w:r/>
          </w:p>
        </w:tc>
        <w:tc>
          <w:tcPr>
            <w:tcW w:w="709" w:type="dxa"/>
            <w:vAlign w:val="center"/>
            <w:textDirection w:val="lrTb"/>
            <w:noWrap w:val="false"/>
          </w:tcPr>
          <w:p>
            <w:pPr>
              <w:pStyle w:val="74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666" w:type="dxa"/>
            <w:vAlign w:val="center"/>
            <w:textDirection w:val="lrTb"/>
            <w:noWrap w:val="false"/>
          </w:tcPr>
          <w:p>
            <w:pPr>
              <w:pStyle w:val="741"/>
              <w:jc w:val="center"/>
              <w:widowControl/>
              <w:rPr>
                <w:rFonts w:ascii="宋体" w:hAnsi="宋体" w:cs="宋体"/>
                <w:szCs w:val="21"/>
              </w:rPr>
            </w:pPr>
            <w:r>
              <w:rPr>
                <w:rFonts w:hint="eastAsia" w:ascii="宋体" w:hAnsi="宋体" w:cs="宋体"/>
                <w:szCs w:val="21"/>
              </w:rPr>
              <w:t xml:space="preserve">台</w:t>
            </w:r>
            <w:r>
              <w:rPr>
                <w:rFonts w:ascii="宋体" w:hAnsi="宋体" w:cs="宋体"/>
                <w:szCs w:val="21"/>
              </w:rPr>
            </w:r>
            <w:r/>
          </w:p>
        </w:tc>
      </w:tr>
      <w:tr>
        <w:trPr>
          <w:trHeight w:val="585"/>
        </w:trPr>
        <w:tc>
          <w:tcPr>
            <w:tcW w:w="649" w:type="dxa"/>
            <w:vAlign w:val="center"/>
            <w:textDirection w:val="lrTb"/>
            <w:noWrap w:val="false"/>
          </w:tcPr>
          <w:p>
            <w:pPr>
              <w:pStyle w:val="958"/>
              <w:numPr>
                <w:ilvl w:val="0"/>
                <w:numId w:val="6"/>
              </w:numPr>
              <w:widowControl/>
              <w:rPr>
                <w:rFonts w:ascii="宋体" w:hAnsi="宋体" w:cs="宋体"/>
                <w:color w:val="000000"/>
                <w:szCs w:val="21"/>
              </w:rPr>
            </w:pPr>
            <w:r>
              <w:rPr>
                <w:rFonts w:ascii="宋体" w:hAnsi="宋体" w:cs="宋体"/>
                <w:color w:val="000000"/>
                <w:szCs w:val="21"/>
              </w:rPr>
            </w:r>
            <w:r/>
          </w:p>
        </w:tc>
        <w:tc>
          <w:tcPr>
            <w:tcW w:w="732" w:type="dxa"/>
            <w:vAlign w:val="center"/>
            <w:textDirection w:val="lrTb"/>
            <w:noWrap w:val="false"/>
          </w:tcPr>
          <w:p>
            <w:pPr>
              <w:pStyle w:val="958"/>
              <w:jc w:val="center"/>
              <w:widowControl/>
              <w:rPr>
                <w:rFonts w:ascii="宋体" w:hAnsi="宋体" w:cs="宋体"/>
                <w:color w:val="000000"/>
                <w:szCs w:val="21"/>
              </w:rPr>
            </w:pPr>
            <w:r>
              <w:rPr>
                <w:rFonts w:hint="eastAsia"/>
                <w:color w:val="000000"/>
                <w:szCs w:val="21"/>
              </w:rPr>
              <w:t xml:space="preserve">社会化服务系统应用部署</w:t>
            </w:r>
            <w:r>
              <w:rPr>
                <w:rFonts w:ascii="宋体" w:hAnsi="宋体" w:cs="宋体"/>
                <w:color w:val="000000"/>
                <w:szCs w:val="21"/>
              </w:rPr>
            </w:r>
            <w:r/>
          </w:p>
        </w:tc>
        <w:tc>
          <w:tcPr>
            <w:tcW w:w="6420" w:type="dxa"/>
            <w:vAlign w:val="center"/>
            <w:textDirection w:val="lrTb"/>
            <w:noWrap w:val="false"/>
          </w:tcPr>
          <w:p>
            <w:pPr>
              <w:pStyle w:val="741"/>
              <w:jc w:val="left"/>
              <w:widowControl/>
              <w:rPr>
                <w:rFonts w:ascii="宋体" w:hAnsi="宋体" w:cs="宋体"/>
                <w:color w:val="000000"/>
                <w:szCs w:val="21"/>
              </w:rPr>
            </w:pPr>
            <w:r>
              <w:rPr>
                <w:rFonts w:hint="eastAsia" w:ascii="宋体" w:hAnsi="宋体" w:cs="宋体"/>
                <w:color w:val="000000"/>
                <w:szCs w:val="21"/>
              </w:rPr>
              <w:t xml:space="preserve">1.统筹现有专网服务系统与新社会化服务系统业务并行。</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确保现有专网服务系统与新社会化服务系统能在并行过程中获得充足的硬件资源支持，为社会化机构提供稳定高效的服务。对两个系统进行动态的、持续的资源配置和调整。</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2.社会化服务系统数据库搭建</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选择性能较好的数据库服务器，创建社会化服务系统机动车登记和查验、机动车登记数据库用户及库表、驾驶证管理和驾驶人考试数据库库表。数据库集群RAC搭建。</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3.社会化服务系统应用搭建部署</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①环境安装：安装相关操作系统及相关软件运行环境。</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②重建数据库环境：数据库初始化及策略配置。</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③微服务系统组件安装。</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④文件存储系统组件安装。</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⑤跨网数据交换组件安装。</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⑥社会化服务系统备案与发布。</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4.配合社会化机构外挂软件改造联调</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配合近60家检测站现场更新升级检验系统，与社会化服务系统和音视频切片管理系统分别对接联调，并进行业务测试，完成新车/在用车、定检/非定检、每种车型、每条检测线/检验项目的全覆盖测试。</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配合近30家登记服务站（包括银行、法院、金融机构、汽车报废企业）进行升级、联调，为每家登记服务站安装调试新版查验App,新版QT插件，并进行业务测试覆盖。</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5.社会化机构逐一切换</w:t>
            </w:r>
            <w:r>
              <w:rPr>
                <w:rFonts w:ascii="宋体" w:hAnsi="宋体" w:cs="宋体"/>
                <w:color w:val="000000"/>
                <w:szCs w:val="21"/>
              </w:rPr>
            </w:r>
            <w:r/>
          </w:p>
          <w:p>
            <w:pPr>
              <w:pStyle w:val="741"/>
              <w:jc w:val="left"/>
              <w:widowControl/>
              <w:rPr>
                <w:rFonts w:ascii="宋体" w:hAnsi="宋体" w:cs="宋体"/>
                <w:color w:val="000000"/>
                <w:szCs w:val="21"/>
              </w:rPr>
            </w:pPr>
            <w:r>
              <w:rPr>
                <w:rFonts w:hint="eastAsia" w:ascii="宋体" w:hAnsi="宋体" w:cs="宋体"/>
                <w:color w:val="000000"/>
                <w:szCs w:val="21"/>
              </w:rPr>
              <w:t xml:space="preserve">登记服务站、检测站等机构为单位分批逐步实施。</w:t>
            </w:r>
            <w:r>
              <w:rPr>
                <w:rFonts w:ascii="宋体" w:hAnsi="宋体" w:cs="宋体"/>
                <w:color w:val="000000"/>
                <w:szCs w:val="21"/>
              </w:rPr>
            </w:r>
            <w:r/>
          </w:p>
        </w:tc>
        <w:tc>
          <w:tcPr>
            <w:tcW w:w="709" w:type="dxa"/>
            <w:vAlign w:val="center"/>
            <w:textDirection w:val="lrTb"/>
            <w:noWrap w:val="false"/>
          </w:tcPr>
          <w:p>
            <w:pPr>
              <w:pStyle w:val="958"/>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666" w:type="dxa"/>
            <w:vAlign w:val="center"/>
            <w:textDirection w:val="lrTb"/>
            <w:noWrap w:val="false"/>
          </w:tcPr>
          <w:p>
            <w:pPr>
              <w:pStyle w:val="958"/>
              <w:jc w:val="center"/>
              <w:widowControl/>
              <w:rPr>
                <w:rFonts w:ascii="宋体" w:hAnsi="宋体" w:cs="宋体"/>
                <w:color w:val="000000"/>
                <w:szCs w:val="21"/>
              </w:rPr>
            </w:pPr>
            <w:r>
              <w:rPr>
                <w:rFonts w:hint="eastAsia" w:ascii="宋体" w:hAnsi="宋体" w:cs="宋体"/>
                <w:color w:val="000000"/>
                <w:szCs w:val="21"/>
              </w:rPr>
              <w:t xml:space="preserve">项</w:t>
            </w:r>
            <w:r>
              <w:rPr>
                <w:rFonts w:ascii="宋体" w:hAnsi="宋体" w:cs="宋体"/>
                <w:color w:val="000000"/>
                <w:szCs w:val="21"/>
              </w:rPr>
            </w:r>
            <w:r/>
          </w:p>
        </w:tc>
      </w:tr>
      <w:tr>
        <w:trPr>
          <w:trHeight w:val="585"/>
        </w:trPr>
        <w:tc>
          <w:tcPr>
            <w:tcW w:w="649" w:type="dxa"/>
            <w:vAlign w:val="center"/>
            <w:textDirection w:val="lrTb"/>
            <w:noWrap w:val="false"/>
          </w:tcPr>
          <w:p>
            <w:pPr>
              <w:pStyle w:val="958"/>
              <w:numPr>
                <w:ilvl w:val="0"/>
                <w:numId w:val="6"/>
              </w:numPr>
              <w:widowControl/>
              <w:rPr>
                <w:rFonts w:ascii="宋体" w:hAnsi="宋体" w:cs="宋体"/>
                <w:szCs w:val="21"/>
              </w:rPr>
            </w:pPr>
            <w:r>
              <w:rPr>
                <w:rFonts w:ascii="宋体" w:hAnsi="宋体" w:cs="宋体"/>
                <w:szCs w:val="21"/>
              </w:rPr>
            </w:r>
            <w:r/>
          </w:p>
        </w:tc>
        <w:tc>
          <w:tcPr>
            <w:tcW w:w="732" w:type="dxa"/>
            <w:vAlign w:val="center"/>
            <w:textDirection w:val="lrTb"/>
            <w:noWrap w:val="false"/>
          </w:tcPr>
          <w:p>
            <w:pPr>
              <w:pStyle w:val="958"/>
              <w:jc w:val="center"/>
              <w:widowControl/>
              <w:rPr>
                <w:rFonts w:ascii="宋体" w:hAnsi="宋体" w:cs="宋体"/>
                <w:szCs w:val="21"/>
              </w:rPr>
            </w:pPr>
            <w:r>
              <w:rPr>
                <w:rFonts w:hint="eastAsia" w:ascii="宋体" w:hAnsi="宋体" w:cs="宋体"/>
                <w:szCs w:val="21"/>
              </w:rPr>
              <w:t xml:space="preserve">数据迁移</w:t>
            </w:r>
            <w:r>
              <w:rPr>
                <w:rFonts w:ascii="宋体" w:hAnsi="宋体" w:cs="宋体"/>
                <w:szCs w:val="21"/>
              </w:rPr>
            </w:r>
            <w:r/>
          </w:p>
        </w:tc>
        <w:tc>
          <w:tcPr>
            <w:tcW w:w="6420" w:type="dxa"/>
            <w:vAlign w:val="center"/>
            <w:textDirection w:val="lrTb"/>
            <w:noWrap w:val="false"/>
          </w:tcPr>
          <w:p>
            <w:pPr>
              <w:pStyle w:val="958"/>
              <w:widowControl/>
              <w:rPr>
                <w:rFonts w:ascii="宋体" w:hAnsi="宋体" w:cs="宋体"/>
                <w:szCs w:val="21"/>
              </w:rPr>
            </w:pPr>
            <w:r>
              <w:rPr>
                <w:rFonts w:hint="eastAsia" w:ascii="宋体" w:hAnsi="宋体" w:cs="宋体"/>
                <w:szCs w:val="21"/>
              </w:rPr>
              <w:t xml:space="preserve">升级完成后，按照“最小范围”、“最短保存期限”的原则对社会化服务系统的数据进行清理、迁移和转换，具体如下：升级完成后，对社会化服务系统的数据进行清理、迁移和转换。未归档业务的文本、图片以及影像化资料需全部导入社会化服务系统，并对涉及个人信息敏感字段应进行加密存储；系统日志信息选择导入。</w:t>
            </w:r>
            <w:r>
              <w:rPr>
                <w:rFonts w:ascii="宋体" w:hAnsi="宋体" w:cs="宋体"/>
                <w:szCs w:val="21"/>
              </w:rPr>
            </w:r>
            <w:r/>
          </w:p>
        </w:tc>
        <w:tc>
          <w:tcPr>
            <w:tcW w:w="709" w:type="dxa"/>
            <w:vAlign w:val="center"/>
            <w:textDirection w:val="lrTb"/>
            <w:noWrap w:val="false"/>
          </w:tcPr>
          <w:p>
            <w:pPr>
              <w:pStyle w:val="958"/>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666" w:type="dxa"/>
            <w:vAlign w:val="center"/>
            <w:textDirection w:val="lrTb"/>
            <w:noWrap w:val="false"/>
          </w:tcPr>
          <w:p>
            <w:pPr>
              <w:pStyle w:val="958"/>
              <w:jc w:val="center"/>
              <w:widowControl/>
              <w:rPr>
                <w:rFonts w:ascii="宋体" w:hAnsi="宋体" w:cs="宋体"/>
                <w:szCs w:val="21"/>
              </w:rPr>
            </w:pPr>
            <w:r>
              <w:rPr>
                <w:rFonts w:hint="eastAsia" w:ascii="宋体" w:hAnsi="宋体" w:cs="宋体"/>
                <w:szCs w:val="21"/>
              </w:rPr>
              <w:t xml:space="preserve">项</w:t>
            </w:r>
            <w:r>
              <w:rPr>
                <w:rFonts w:ascii="宋体" w:hAnsi="宋体" w:cs="宋体"/>
                <w:szCs w:val="21"/>
              </w:rPr>
            </w:r>
            <w:r/>
          </w:p>
        </w:tc>
      </w:tr>
      <w:tr>
        <w:trPr>
          <w:trHeight w:val="585"/>
        </w:trPr>
        <w:tc>
          <w:tcPr>
            <w:tcW w:w="649" w:type="dxa"/>
            <w:vAlign w:val="center"/>
            <w:textDirection w:val="lrTb"/>
            <w:noWrap w:val="false"/>
          </w:tcPr>
          <w:p>
            <w:pPr>
              <w:pStyle w:val="958"/>
              <w:numPr>
                <w:ilvl w:val="0"/>
                <w:numId w:val="6"/>
              </w:numPr>
              <w:widowControl/>
              <w:rPr>
                <w:rFonts w:ascii="宋体" w:hAnsi="宋体" w:cs="宋体"/>
                <w:szCs w:val="21"/>
              </w:rPr>
            </w:pPr>
            <w:r>
              <w:rPr>
                <w:rFonts w:ascii="宋体" w:hAnsi="宋体" w:cs="宋体"/>
                <w:szCs w:val="21"/>
              </w:rPr>
            </w:r>
            <w:r/>
          </w:p>
        </w:tc>
        <w:tc>
          <w:tcPr>
            <w:tcW w:w="732" w:type="dxa"/>
            <w:vAlign w:val="center"/>
            <w:textDirection w:val="lrTb"/>
            <w:noWrap w:val="false"/>
          </w:tcPr>
          <w:p>
            <w:pPr>
              <w:pStyle w:val="958"/>
              <w:jc w:val="center"/>
              <w:widowControl/>
              <w:rPr>
                <w:rFonts w:ascii="宋体" w:hAnsi="宋体" w:cs="宋体"/>
                <w:szCs w:val="21"/>
              </w:rPr>
            </w:pPr>
            <w:r>
              <w:rPr>
                <w:rFonts w:hint="eastAsia" w:ascii="宋体" w:hAnsi="宋体" w:cs="宋体"/>
                <w:szCs w:val="21"/>
              </w:rPr>
              <w:t xml:space="preserve">售后驻场服务</w:t>
            </w:r>
            <w:r>
              <w:rPr>
                <w:rFonts w:ascii="宋体" w:hAnsi="宋体" w:cs="宋体"/>
                <w:szCs w:val="21"/>
              </w:rPr>
            </w:r>
            <w:r/>
          </w:p>
        </w:tc>
        <w:tc>
          <w:tcPr>
            <w:tcW w:w="6420" w:type="dxa"/>
            <w:vAlign w:val="center"/>
            <w:textDirection w:val="lrTb"/>
            <w:noWrap w:val="false"/>
          </w:tcPr>
          <w:p>
            <w:pPr>
              <w:pStyle w:val="741"/>
              <w:jc w:val="left"/>
              <w:widowControl/>
              <w:rPr>
                <w:rFonts w:ascii="宋体" w:hAnsi="宋体" w:cs="宋体"/>
                <w:szCs w:val="21"/>
              </w:rPr>
            </w:pPr>
            <w:r>
              <w:rPr>
                <w:rFonts w:hint="eastAsia" w:ascii="宋体" w:hAnsi="宋体" w:cs="宋体"/>
                <w:szCs w:val="21"/>
              </w:rPr>
              <w:t xml:space="preserve">提供1名的专业售后人员驻场服务，确保在质保期内能够及时响应并处理客户需求。</w:t>
            </w:r>
            <w:r>
              <w:rPr>
                <w:rFonts w:ascii="宋体" w:hAnsi="宋体" w:cs="宋体"/>
                <w:szCs w:val="21"/>
              </w:rPr>
            </w:r>
            <w:r/>
          </w:p>
          <w:p>
            <w:pPr>
              <w:pStyle w:val="741"/>
              <w:jc w:val="left"/>
              <w:widowControl/>
              <w:rPr>
                <w:rFonts w:ascii="宋体" w:hAnsi="宋体" w:cs="宋体"/>
                <w:szCs w:val="21"/>
              </w:rPr>
            </w:pPr>
            <w:r>
              <w:rPr>
                <w:rFonts w:hint="eastAsia" w:ascii="宋体" w:hAnsi="宋体" w:cs="宋体"/>
                <w:szCs w:val="21"/>
              </w:rPr>
              <w:t xml:space="preserve">售后人员需具备相关信息系统丰富的技术经验，能够对系统进行安装调试，并提供维护与修复服务。必须提供技术支持和设备故障排除服务，确保系统在质保期内的正常运行。售后人员的联系方式应24小时可用，并能在规定时间内提供快速响应。 </w:t>
            </w:r>
            <w:r>
              <w:rPr>
                <w:rFonts w:ascii="宋体" w:hAnsi="宋体" w:cs="宋体"/>
                <w:szCs w:val="21"/>
              </w:rPr>
            </w:r>
            <w:r/>
          </w:p>
        </w:tc>
        <w:tc>
          <w:tcPr>
            <w:tcW w:w="709" w:type="dxa"/>
            <w:vAlign w:val="center"/>
            <w:textDirection w:val="lrTb"/>
            <w:noWrap w:val="false"/>
          </w:tcPr>
          <w:p>
            <w:pPr>
              <w:pStyle w:val="958"/>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666" w:type="dxa"/>
            <w:vAlign w:val="center"/>
            <w:textDirection w:val="lrTb"/>
            <w:noWrap w:val="false"/>
          </w:tcPr>
          <w:p>
            <w:pPr>
              <w:pStyle w:val="958"/>
              <w:jc w:val="center"/>
              <w:widowControl/>
              <w:rPr>
                <w:rFonts w:ascii="宋体" w:hAnsi="宋体" w:cs="宋体"/>
                <w:szCs w:val="21"/>
              </w:rPr>
            </w:pPr>
            <w:r>
              <w:rPr>
                <w:rFonts w:hint="eastAsia" w:ascii="宋体" w:hAnsi="宋体" w:cs="宋体"/>
                <w:szCs w:val="21"/>
              </w:rPr>
              <w:t xml:space="preserve">年</w:t>
            </w:r>
            <w:r>
              <w:rPr>
                <w:rFonts w:ascii="宋体" w:hAnsi="宋体" w:cs="宋体"/>
                <w:szCs w:val="21"/>
              </w:rPr>
            </w:r>
            <w:r/>
          </w:p>
        </w:tc>
      </w:tr>
    </w:tbl>
    <w:p>
      <w:pPr>
        <w:pStyle w:val="741"/>
        <w:rPr>
          <w:rFonts w:ascii="宋体" w:hAnsi="宋体" w:cs="宋体"/>
          <w:spacing w:val="3"/>
          <w:szCs w:val="21"/>
        </w:rPr>
      </w:pPr>
      <w:r>
        <w:rPr>
          <w:rFonts w:ascii="宋体" w:hAnsi="宋体" w:cs="宋体"/>
          <w:spacing w:val="3"/>
          <w:szCs w:val="21"/>
        </w:rPr>
      </w:r>
      <w:r/>
    </w:p>
    <w:tbl>
      <w:tblPr>
        <w:tblW w:w="92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8256"/>
      </w:tblGrid>
      <w:tr>
        <w:trPr>
          <w:trHeight w:val="90"/>
          <w:tblHeader/>
        </w:trPr>
        <w:tc>
          <w:tcPr>
            <w:shd w:val="clear" w:color="auto" w:fill="bfbfbf"/>
            <w:tcW w:w="945" w:type="dxa"/>
            <w:vAlign w:val="center"/>
            <w:textDirection w:val="lrTb"/>
            <w:noWrap w:val="false"/>
          </w:tcPr>
          <w:p>
            <w:pPr>
              <w:pStyle w:val="741"/>
              <w:jc w:val="center"/>
              <w:rPr>
                <w:rFonts w:ascii="宋体" w:hAnsi="宋体"/>
                <w:b/>
                <w:bCs/>
                <w:szCs w:val="21"/>
              </w:rPr>
            </w:pPr>
            <w:r>
              <w:rPr>
                <w:rFonts w:hint="eastAsia" w:ascii="宋体" w:hAnsi="宋体"/>
                <w:b/>
                <w:bCs/>
                <w:szCs w:val="21"/>
              </w:rPr>
              <w:t xml:space="preserve">指标项</w:t>
            </w:r>
            <w:r>
              <w:rPr>
                <w:rFonts w:ascii="宋体" w:hAnsi="宋体"/>
                <w:b/>
                <w:bCs/>
                <w:szCs w:val="21"/>
              </w:rPr>
            </w:r>
            <w:r/>
          </w:p>
        </w:tc>
        <w:tc>
          <w:tcPr>
            <w:shd w:val="clear" w:color="auto" w:fill="bfbfbf"/>
            <w:tcW w:w="8256" w:type="dxa"/>
            <w:vAlign w:val="center"/>
            <w:textDirection w:val="lrTb"/>
            <w:noWrap w:val="false"/>
          </w:tcPr>
          <w:p>
            <w:pPr>
              <w:pStyle w:val="741"/>
              <w:jc w:val="center"/>
              <w:rPr>
                <w:rFonts w:ascii="宋体" w:hAnsi="宋体"/>
                <w:b/>
                <w:bCs/>
                <w:szCs w:val="21"/>
              </w:rPr>
            </w:pPr>
            <w:r>
              <w:rPr>
                <w:rFonts w:hint="eastAsia" w:ascii="宋体" w:hAnsi="宋体"/>
                <w:b/>
                <w:bCs/>
                <w:szCs w:val="21"/>
              </w:rPr>
              <w:t xml:space="preserve">技术规格要求</w:t>
            </w:r>
            <w:r>
              <w:rPr>
                <w:rFonts w:ascii="宋体" w:hAnsi="宋体"/>
                <w:b/>
                <w:bCs/>
                <w:szCs w:val="21"/>
              </w:rPr>
            </w:r>
            <w:r/>
          </w:p>
        </w:tc>
      </w:tr>
      <w:tr>
        <w:trPr>
          <w:trHeight w:val="93"/>
        </w:trPr>
        <w:tc>
          <w:tcPr>
            <w:tcW w:w="945" w:type="dxa"/>
            <w:vAlign w:val="center"/>
            <w:textDirection w:val="lrTb"/>
            <w:noWrap w:val="false"/>
          </w:tcPr>
          <w:p>
            <w:pPr>
              <w:pStyle w:val="741"/>
              <w:rPr>
                <w:rFonts w:ascii="宋体" w:hAnsi="宋体"/>
                <w:szCs w:val="21"/>
              </w:rPr>
            </w:pPr>
            <w:r>
              <w:rPr>
                <w:rFonts w:hint="eastAsia" w:ascii="宋体" w:hAnsi="宋体"/>
                <w:szCs w:val="21"/>
              </w:rPr>
              <w:t xml:space="preserve">绿色数据中心需求</w:t>
            </w:r>
            <w:r>
              <w:rPr>
                <w:rFonts w:ascii="宋体" w:hAnsi="宋体"/>
                <w:szCs w:val="21"/>
              </w:rPr>
            </w:r>
            <w:r/>
          </w:p>
        </w:tc>
        <w:tc>
          <w:tcPr>
            <w:tcW w:w="8256" w:type="dxa"/>
            <w:vAlign w:val="center"/>
            <w:textDirection w:val="lrTb"/>
            <w:noWrap w:val="false"/>
          </w:tcPr>
          <w:p>
            <w:pPr>
              <w:pStyle w:val="741"/>
              <w:numPr>
                <w:ilvl w:val="0"/>
                <w:numId w:val="7"/>
              </w:numPr>
              <w:rPr>
                <w:rFonts w:ascii="宋体" w:hAnsi="宋体" w:cs="@楷体_GB2312"/>
                <w:i/>
                <w:iCs/>
                <w:szCs w:val="21"/>
                <w:u w:val="single"/>
              </w:rPr>
            </w:pPr>
            <w:r>
              <w:rPr>
                <w:rFonts w:hint="eastAsia" w:ascii="宋体" w:hAnsi="宋体"/>
                <w:i/>
                <w:iCs/>
                <w:szCs w:val="21"/>
                <w:u w:val="single"/>
              </w:rPr>
              <w:t xml:space="preserve">交换机必须满足【财库〔2023〕7号】财政部 生态环境部 工业和信息化部关于印发《绿色数据中心政府采购需求标准（试行）》的通知中的以太网交换机；</w:t>
            </w:r>
            <w:r>
              <w:rPr>
                <w:rFonts w:hint="eastAsia" w:ascii="宋体" w:hAnsi="宋体" w:cs="@楷体_GB2312"/>
                <w:i/>
                <w:iCs/>
                <w:szCs w:val="21"/>
                <w:u w:val="single"/>
              </w:rPr>
              <w:t xml:space="preserve">【投标人需按技术参数要求内容填写《技术参数响应及偏离表》并提供承诺函，加盖公章扫描上传】</w:t>
            </w:r>
            <w:r>
              <w:rPr>
                <w:rFonts w:ascii="宋体" w:hAnsi="宋体" w:cs="@楷体_GB2312"/>
                <w:i/>
                <w:iCs/>
                <w:szCs w:val="21"/>
                <w:u w:val="single"/>
              </w:rPr>
            </w:r>
            <w:r/>
          </w:p>
          <w:p>
            <w:pPr>
              <w:pStyle w:val="741"/>
              <w:rPr>
                <w:szCs w:val="21"/>
              </w:rPr>
            </w:pPr>
            <w:r>
              <w:rPr>
                <w:rFonts w:ascii="宋体" w:hAnsi="宋体" w:cs="Arial"/>
                <w:color w:val="000000"/>
                <w:szCs w:val="21"/>
              </w:rPr>
              <w:t xml:space="preserve">2、</w:t>
            </w:r>
            <w:r>
              <w:rPr>
                <w:rFonts w:hint="eastAsia" w:ascii="宋体" w:hAnsi="宋体" w:cs="Arial"/>
                <w:color w:val="000000"/>
                <w:szCs w:val="21"/>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Cs w:val="21"/>
              </w:rPr>
            </w:r>
            <w:r/>
          </w:p>
        </w:tc>
      </w:tr>
    </w:tbl>
    <w:p>
      <w:pPr>
        <w:pStyle w:val="741"/>
        <w:spacing w:line="440" w:lineRule="exact"/>
        <w:rPr>
          <w:rFonts w:ascii="宋体" w:hAnsi="宋体" w:cs="宋体"/>
          <w:spacing w:val="3"/>
          <w:szCs w:val="21"/>
        </w:rPr>
      </w:pPr>
      <w:r>
        <w:rPr>
          <w:rFonts w:hint="eastAsia" w:ascii="宋体" w:hAnsi="宋体" w:cs="宋体"/>
          <w:spacing w:val="3"/>
          <w:szCs w:val="21"/>
        </w:rPr>
        <w:t xml:space="preserve">绿色数据中心需求（以太网交换机技术指标要求）：</w:t>
      </w:r>
      <w:r>
        <w:rPr>
          <w:rFonts w:ascii="宋体" w:hAnsi="宋体" w:cs="宋体"/>
          <w:spacing w:val="3"/>
          <w:szCs w:val="21"/>
        </w:rPr>
      </w:r>
      <w:r/>
    </w:p>
    <w:tbl>
      <w:tblPr>
        <w:tblW w:w="9590" w:type="dxa"/>
        <w:tblInd w:w="-4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0"/>
        <w:gridCol w:w="1740"/>
        <w:gridCol w:w="3170"/>
        <w:gridCol w:w="1460"/>
        <w:gridCol w:w="2740"/>
      </w:tblGrid>
      <w:tr>
        <w:trPr/>
        <w:tc>
          <w:tcPr>
            <w:tcW w:w="480" w:type="dxa"/>
            <w:vAlign w:val="center"/>
            <w:textDirection w:val="lrTb"/>
            <w:noWrap w:val="false"/>
          </w:tcPr>
          <w:p>
            <w:pPr>
              <w:pStyle w:val="741"/>
              <w:ind w:right="153"/>
              <w:spacing w:line="276" w:lineRule="auto"/>
              <w:rPr>
                <w:rFonts w:ascii="宋体" w:hAnsi="宋体" w:cs="宋体"/>
                <w:szCs w:val="21"/>
              </w:rPr>
            </w:pPr>
            <w:r>
              <w:rPr>
                <w:rFonts w:ascii="宋体" w:hAnsi="宋体" w:cs="宋体"/>
                <w:szCs w:val="21"/>
              </w:rPr>
            </w:r>
            <w:r/>
          </w:p>
        </w:tc>
        <w:tc>
          <w:tcPr>
            <w:gridSpan w:val="2"/>
            <w:shd w:val="clear" w:color="auto" w:fill="d8d8d8"/>
            <w:tcW w:w="491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指标</w:t>
            </w:r>
            <w:r>
              <w:rPr>
                <w:rFonts w:ascii="宋体" w:hAnsi="宋体" w:cs="宋体"/>
                <w:szCs w:val="21"/>
              </w:rPr>
            </w:r>
            <w:r/>
          </w:p>
        </w:tc>
        <w:tc>
          <w:tcPr>
            <w:shd w:val="clear" w:color="auto" w:fill="d8d8d8"/>
            <w:tcW w:w="146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限制值</w:t>
            </w:r>
            <w:r>
              <w:rPr>
                <w:rFonts w:ascii="宋体" w:hAnsi="宋体" w:cs="宋体"/>
                <w:szCs w:val="21"/>
              </w:rPr>
            </w:r>
            <w:r/>
          </w:p>
        </w:tc>
        <w:tc>
          <w:tcPr>
            <w:shd w:val="clear" w:color="auto" w:fill="d8d8d8"/>
            <w:tcW w:w="274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判定依据/方法</w:t>
            </w:r>
            <w:r>
              <w:rPr>
                <w:rFonts w:ascii="宋体" w:hAnsi="宋体" w:cs="宋体"/>
                <w:szCs w:val="21"/>
              </w:rPr>
            </w:r>
            <w:r/>
          </w:p>
        </w:tc>
      </w:tr>
      <w:tr>
        <w:trPr/>
        <w:tc>
          <w:tcPr>
            <w:tcW w:w="48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gridSpan w:val="2"/>
            <w:tcW w:w="491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固定端口以太网交换机能效比值（TEER）</w:t>
            </w:r>
            <w:r>
              <w:rPr>
                <w:rFonts w:ascii="宋体" w:hAnsi="宋体" w:cs="宋体"/>
                <w:szCs w:val="21"/>
              </w:rPr>
            </w:r>
            <w:r/>
          </w:p>
        </w:tc>
        <w:tc>
          <w:tcPr>
            <w:tcW w:w="146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≥300</w:t>
            </w:r>
            <w:r>
              <w:rPr>
                <w:rFonts w:ascii="宋体" w:hAnsi="宋体" w:cs="宋体"/>
                <w:szCs w:val="21"/>
              </w:rPr>
            </w:r>
            <w:r/>
          </w:p>
        </w:tc>
        <w:tc>
          <w:tcPr>
            <w:tcW w:w="2740" w:type="dxa"/>
            <w:vAlign w:val="center"/>
            <w:textDirection w:val="lrTb"/>
            <w:noWrap w:val="false"/>
          </w:tcPr>
          <w:p>
            <w:pPr>
              <w:pStyle w:val="741"/>
              <w:spacing w:line="276" w:lineRule="auto"/>
              <w:rPr>
                <w:rFonts w:ascii="宋体" w:hAnsi="宋体" w:cs="宋体"/>
                <w:szCs w:val="21"/>
              </w:rPr>
            </w:pPr>
            <w:r>
              <w:rPr>
                <w:rFonts w:hint="eastAsia" w:ascii="宋体" w:hAnsi="宋体" w:cs="宋体"/>
                <w:szCs w:val="21"/>
              </w:rPr>
              <w:t xml:space="preserve">检测方法依据附录E中要求</w:t>
            </w:r>
            <w:r>
              <w:rPr>
                <w:rFonts w:ascii="宋体" w:hAnsi="宋体" w:cs="宋体"/>
                <w:szCs w:val="21"/>
              </w:rPr>
            </w:r>
            <w:r/>
          </w:p>
        </w:tc>
      </w:tr>
      <w:tr>
        <w:trPr/>
        <w:tc>
          <w:tcPr>
            <w:tcW w:w="480" w:type="dxa"/>
            <w:vAlign w:val="center"/>
            <w:vMerge w:val="restart"/>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40" w:type="dxa"/>
            <w:vAlign w:val="center"/>
            <w:vMerge w:val="restart"/>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单路电源输出效率</w:t>
            </w:r>
            <w:r>
              <w:rPr>
                <w:rFonts w:ascii="宋体" w:hAnsi="宋体" w:cs="宋体"/>
                <w:szCs w:val="21"/>
              </w:rPr>
            </w:r>
            <w:r/>
          </w:p>
        </w:tc>
        <w:tc>
          <w:tcPr>
            <w:tcW w:w="317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20%负载</w:t>
            </w:r>
            <w:r>
              <w:rPr>
                <w:rFonts w:ascii="宋体" w:hAnsi="宋体" w:cs="宋体"/>
                <w:szCs w:val="21"/>
              </w:rPr>
            </w:r>
            <w:r/>
          </w:p>
        </w:tc>
        <w:tc>
          <w:tcPr>
            <w:tcW w:w="146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≥88%</w:t>
            </w:r>
            <w:r>
              <w:rPr>
                <w:rFonts w:ascii="宋体" w:hAnsi="宋体" w:cs="宋体"/>
                <w:szCs w:val="21"/>
              </w:rPr>
            </w:r>
            <w:r/>
          </w:p>
        </w:tc>
        <w:tc>
          <w:tcPr>
            <w:tcW w:w="2740" w:type="dxa"/>
            <w:vAlign w:val="center"/>
            <w:vMerge w:val="restart"/>
            <w:textDirection w:val="lrTb"/>
            <w:noWrap w:val="false"/>
          </w:tcPr>
          <w:p>
            <w:pPr>
              <w:pStyle w:val="741"/>
              <w:spacing w:line="276" w:lineRule="auto"/>
              <w:rPr>
                <w:rFonts w:ascii="宋体" w:hAnsi="宋体" w:cs="宋体"/>
                <w:szCs w:val="21"/>
              </w:rPr>
            </w:pPr>
            <w:r>
              <w:rPr>
                <w:rFonts w:hint="eastAsia" w:ascii="宋体" w:hAnsi="宋体" w:cs="宋体"/>
                <w:szCs w:val="21"/>
              </w:rPr>
              <w:t xml:space="preserve">检测方法依据HJ 2507附录B要求</w:t>
            </w:r>
            <w:r>
              <w:rPr>
                <w:rFonts w:ascii="宋体" w:hAnsi="宋体" w:cs="宋体"/>
                <w:szCs w:val="21"/>
              </w:rPr>
            </w:r>
            <w:r/>
          </w:p>
        </w:tc>
      </w:tr>
      <w:tr>
        <w:trPr>
          <w:trHeight w:val="544"/>
        </w:trPr>
        <w:tc>
          <w:tcPr>
            <w:tcW w:w="48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c>
          <w:tcPr>
            <w:tcW w:w="174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c>
          <w:tcPr>
            <w:tcW w:w="317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50%负载</w:t>
            </w:r>
            <w:r>
              <w:rPr>
                <w:rFonts w:ascii="宋体" w:hAnsi="宋体" w:cs="宋体"/>
                <w:szCs w:val="21"/>
              </w:rPr>
            </w:r>
            <w:r/>
          </w:p>
        </w:tc>
        <w:tc>
          <w:tcPr>
            <w:tcW w:w="146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≥92%</w:t>
            </w:r>
            <w:r>
              <w:rPr>
                <w:rFonts w:ascii="宋体" w:hAnsi="宋体" w:cs="宋体"/>
                <w:szCs w:val="21"/>
              </w:rPr>
            </w:r>
            <w:r/>
          </w:p>
        </w:tc>
        <w:tc>
          <w:tcPr>
            <w:tcW w:w="274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r>
      <w:tr>
        <w:trPr/>
        <w:tc>
          <w:tcPr>
            <w:tcW w:w="48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c>
          <w:tcPr>
            <w:tcW w:w="174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c>
          <w:tcPr>
            <w:tcW w:w="317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100%负载</w:t>
            </w:r>
            <w:r>
              <w:rPr>
                <w:rFonts w:ascii="宋体" w:hAnsi="宋体" w:cs="宋体"/>
                <w:szCs w:val="21"/>
              </w:rPr>
            </w:r>
            <w:r/>
          </w:p>
        </w:tc>
        <w:tc>
          <w:tcPr>
            <w:tcW w:w="146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≥88%</w:t>
            </w:r>
            <w:r>
              <w:rPr>
                <w:rFonts w:ascii="宋体" w:hAnsi="宋体" w:cs="宋体"/>
                <w:szCs w:val="21"/>
              </w:rPr>
            </w:r>
            <w:r/>
          </w:p>
        </w:tc>
        <w:tc>
          <w:tcPr>
            <w:tcW w:w="274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r>
      <w:tr>
        <w:trPr/>
        <w:tc>
          <w:tcPr>
            <w:tcW w:w="48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gridSpan w:val="2"/>
            <w:tcW w:w="491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单路电源最低功率因数(50%负载下的)     </w:t>
            </w:r>
            <w:r>
              <w:rPr>
                <w:rFonts w:ascii="宋体" w:hAnsi="宋体" w:cs="宋体"/>
                <w:szCs w:val="21"/>
              </w:rPr>
            </w:r>
            <w:r/>
          </w:p>
        </w:tc>
        <w:tc>
          <w:tcPr>
            <w:tcW w:w="146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≥0.90</w:t>
            </w:r>
            <w:r>
              <w:rPr>
                <w:rFonts w:ascii="宋体" w:hAnsi="宋体" w:cs="宋体"/>
                <w:szCs w:val="21"/>
              </w:rPr>
            </w:r>
            <w:r/>
          </w:p>
        </w:tc>
        <w:tc>
          <w:tcPr>
            <w:tcW w:w="274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r>
      <w:tr>
        <w:trPr/>
        <w:tc>
          <w:tcPr>
            <w:tcW w:w="480" w:type="dxa"/>
            <w:vAlign w:val="center"/>
            <w:vMerge w:val="restart"/>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40" w:type="dxa"/>
            <w:vAlign w:val="center"/>
            <w:vMerge w:val="restart"/>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多路电源输出效率</w:t>
            </w:r>
            <w:r>
              <w:rPr>
                <w:rFonts w:ascii="宋体" w:hAnsi="宋体" w:cs="宋体"/>
                <w:szCs w:val="21"/>
              </w:rPr>
            </w:r>
            <w:r/>
          </w:p>
        </w:tc>
        <w:tc>
          <w:tcPr>
            <w:tcW w:w="317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20%负载</w:t>
            </w:r>
            <w:r>
              <w:rPr>
                <w:rFonts w:ascii="宋体" w:hAnsi="宋体" w:cs="宋体"/>
                <w:szCs w:val="21"/>
              </w:rPr>
            </w:r>
            <w:r/>
          </w:p>
        </w:tc>
        <w:tc>
          <w:tcPr>
            <w:tcW w:w="146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≥85%</w:t>
            </w:r>
            <w:r>
              <w:rPr>
                <w:rFonts w:ascii="宋体" w:hAnsi="宋体" w:cs="宋体"/>
                <w:szCs w:val="21"/>
              </w:rPr>
            </w:r>
            <w:r/>
          </w:p>
        </w:tc>
        <w:tc>
          <w:tcPr>
            <w:tcW w:w="274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r>
      <w:tr>
        <w:trPr/>
        <w:tc>
          <w:tcPr>
            <w:tcW w:w="48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c>
          <w:tcPr>
            <w:tcW w:w="174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c>
          <w:tcPr>
            <w:tcW w:w="317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50%负载</w:t>
            </w:r>
            <w:r>
              <w:rPr>
                <w:rFonts w:ascii="宋体" w:hAnsi="宋体" w:cs="宋体"/>
                <w:szCs w:val="21"/>
              </w:rPr>
            </w:r>
            <w:r/>
          </w:p>
        </w:tc>
        <w:tc>
          <w:tcPr>
            <w:tcW w:w="146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≥89%</w:t>
            </w:r>
            <w:r>
              <w:rPr>
                <w:rFonts w:ascii="宋体" w:hAnsi="宋体" w:cs="宋体"/>
                <w:szCs w:val="21"/>
              </w:rPr>
            </w:r>
            <w:r/>
          </w:p>
        </w:tc>
        <w:tc>
          <w:tcPr>
            <w:tcW w:w="274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r>
      <w:tr>
        <w:trPr/>
        <w:tc>
          <w:tcPr>
            <w:tcW w:w="48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c>
          <w:tcPr>
            <w:tcW w:w="174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c>
          <w:tcPr>
            <w:tcW w:w="317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100%负载</w:t>
            </w:r>
            <w:r>
              <w:rPr>
                <w:rFonts w:ascii="宋体" w:hAnsi="宋体" w:cs="宋体"/>
                <w:szCs w:val="21"/>
              </w:rPr>
            </w:r>
            <w:r/>
          </w:p>
        </w:tc>
        <w:tc>
          <w:tcPr>
            <w:tcW w:w="146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≥85%</w:t>
            </w:r>
            <w:r>
              <w:rPr>
                <w:rFonts w:ascii="宋体" w:hAnsi="宋体" w:cs="宋体"/>
                <w:szCs w:val="21"/>
              </w:rPr>
            </w:r>
            <w:r/>
          </w:p>
        </w:tc>
        <w:tc>
          <w:tcPr>
            <w:tcW w:w="274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r>
      <w:tr>
        <w:trPr/>
        <w:tc>
          <w:tcPr>
            <w:tcW w:w="48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gridSpan w:val="2"/>
            <w:tcW w:w="491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多路电源最低功率因数(50%负载下的)</w:t>
            </w:r>
            <w:r>
              <w:rPr>
                <w:rFonts w:ascii="宋体" w:hAnsi="宋体" w:cs="宋体"/>
                <w:szCs w:val="21"/>
              </w:rPr>
            </w:r>
            <w:r/>
          </w:p>
        </w:tc>
        <w:tc>
          <w:tcPr>
            <w:tcW w:w="146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≥0.90</w:t>
            </w:r>
            <w:r>
              <w:rPr>
                <w:rFonts w:ascii="宋体" w:hAnsi="宋体" w:cs="宋体"/>
                <w:szCs w:val="21"/>
              </w:rPr>
            </w:r>
            <w:r/>
          </w:p>
        </w:tc>
        <w:tc>
          <w:tcPr>
            <w:tcW w:w="274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r>
      <w:tr>
        <w:trPr/>
        <w:tc>
          <w:tcPr>
            <w:tcW w:w="480" w:type="dxa"/>
            <w:vAlign w:val="center"/>
            <w:vMerge w:val="restart"/>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40" w:type="dxa"/>
            <w:vAlign w:val="center"/>
            <w:vMerge w:val="restart"/>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噪声发射</w:t>
            </w:r>
            <w:r>
              <w:rPr>
                <w:rFonts w:ascii="宋体" w:hAnsi="宋体" w:cs="宋体"/>
                <w:szCs w:val="21"/>
              </w:rPr>
            </w:r>
            <w:r/>
          </w:p>
        </w:tc>
        <w:tc>
          <w:tcPr>
            <w:tcW w:w="317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有人值守</w:t>
            </w:r>
            <w:r>
              <w:rPr>
                <w:rFonts w:ascii="宋体" w:hAnsi="宋体" w:cs="宋体"/>
                <w:szCs w:val="21"/>
              </w:rPr>
            </w:r>
            <w:r/>
          </w:p>
        </w:tc>
        <w:tc>
          <w:tcPr>
            <w:tcW w:w="146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≤7.6 Bels</w:t>
            </w:r>
            <w:r>
              <w:rPr>
                <w:rFonts w:ascii="宋体" w:hAnsi="宋体" w:cs="宋体"/>
                <w:szCs w:val="21"/>
              </w:rPr>
            </w:r>
            <w:r/>
          </w:p>
        </w:tc>
        <w:tc>
          <w:tcPr>
            <w:tcW w:w="2740" w:type="dxa"/>
            <w:vAlign w:val="center"/>
            <w:vMerge w:val="restart"/>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检测方法依据YD/T 1816要求</w:t>
            </w:r>
            <w:r>
              <w:rPr>
                <w:rFonts w:ascii="宋体" w:hAnsi="宋体" w:cs="宋体"/>
                <w:szCs w:val="21"/>
              </w:rPr>
            </w:r>
            <w:r/>
          </w:p>
        </w:tc>
      </w:tr>
      <w:tr>
        <w:trPr/>
        <w:tc>
          <w:tcPr>
            <w:tcW w:w="48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c>
          <w:tcPr>
            <w:tcW w:w="174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c>
          <w:tcPr>
            <w:tcW w:w="3170" w:type="dxa"/>
            <w:vAlign w:val="center"/>
            <w:textDirection w:val="lrTb"/>
            <w:noWrap w:val="false"/>
          </w:tcPr>
          <w:p>
            <w:pPr>
              <w:pStyle w:val="741"/>
              <w:ind w:right="153"/>
              <w:spacing w:line="276" w:lineRule="auto"/>
              <w:rPr>
                <w:rFonts w:ascii="宋体" w:hAnsi="宋体" w:cs="宋体"/>
                <w:szCs w:val="21"/>
              </w:rPr>
            </w:pPr>
            <w:r>
              <w:rPr>
                <w:rFonts w:hint="eastAsia" w:ascii="宋体" w:hAnsi="宋体" w:cs="宋体"/>
                <w:szCs w:val="21"/>
              </w:rPr>
              <w:t xml:space="preserve">无人值守</w:t>
            </w:r>
            <w:r>
              <w:rPr>
                <w:rFonts w:ascii="宋体" w:hAnsi="宋体" w:cs="宋体"/>
                <w:szCs w:val="21"/>
              </w:rPr>
            </w:r>
            <w:r/>
          </w:p>
        </w:tc>
        <w:tc>
          <w:tcPr>
            <w:tcW w:w="1460" w:type="dxa"/>
            <w:vAlign w:val="center"/>
            <w:textDirection w:val="lrTb"/>
            <w:noWrap w:val="false"/>
          </w:tcPr>
          <w:p>
            <w:pPr>
              <w:pStyle w:val="741"/>
              <w:ind w:right="153"/>
              <w:jc w:val="center"/>
              <w:spacing w:line="276" w:lineRule="auto"/>
              <w:rPr>
                <w:rFonts w:ascii="宋体" w:hAnsi="宋体" w:cs="宋体"/>
                <w:szCs w:val="21"/>
              </w:rPr>
            </w:pPr>
            <w:r>
              <w:rPr>
                <w:rFonts w:hint="eastAsia" w:ascii="宋体" w:hAnsi="宋体" w:cs="宋体"/>
                <w:szCs w:val="21"/>
              </w:rPr>
              <w:t xml:space="preserve">≤8.1 Bels</w:t>
            </w:r>
            <w:r>
              <w:rPr>
                <w:rFonts w:ascii="宋体" w:hAnsi="宋体" w:cs="宋体"/>
                <w:szCs w:val="21"/>
              </w:rPr>
            </w:r>
            <w:r/>
          </w:p>
        </w:tc>
        <w:tc>
          <w:tcPr>
            <w:tcW w:w="2740" w:type="dxa"/>
            <w:vAlign w:val="center"/>
            <w:vMerge w:val="continue"/>
            <w:textDirection w:val="lrTb"/>
            <w:noWrap w:val="false"/>
          </w:tcPr>
          <w:p>
            <w:pPr>
              <w:pStyle w:val="741"/>
              <w:ind w:right="153"/>
              <w:spacing w:line="276" w:lineRule="auto"/>
              <w:rPr>
                <w:rFonts w:ascii="宋体" w:hAnsi="宋体" w:cs="宋体"/>
                <w:szCs w:val="21"/>
              </w:rPr>
            </w:pPr>
            <w:r>
              <w:rPr>
                <w:rFonts w:ascii="宋体" w:hAnsi="宋体" w:cs="宋体"/>
                <w:szCs w:val="21"/>
              </w:rPr>
            </w:r>
            <w:r/>
          </w:p>
        </w:tc>
      </w:tr>
    </w:tbl>
    <w:p>
      <w:pPr>
        <w:pStyle w:val="741"/>
        <w:spacing w:line="440" w:lineRule="exact"/>
        <w:rPr>
          <w:rFonts w:ascii="宋体" w:hAnsi="宋体" w:cs="宋体"/>
          <w:spacing w:val="3"/>
          <w:szCs w:val="21"/>
        </w:rPr>
      </w:pP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 国产</w:t>
      </w:r>
      <w:bookmarkStart w:id="62" w:name="OLE_LINK2"/>
      <w:r>
        <w:rPr>
          <w:rFonts w:hint="eastAsia" w:ascii="宋体" w:hAnsi="宋体" w:cs="宋体"/>
          <w:spacing w:val="3"/>
          <w:szCs w:val="21"/>
        </w:rPr>
        <w:t xml:space="preserve">操作系统</w:t>
      </w:r>
      <w:bookmarkEnd w:id="62"/>
      <w:r>
        <w:rPr>
          <w:rFonts w:ascii="宋体" w:hAnsi="宋体" w:cs="宋体"/>
          <w:spacing w:val="3"/>
          <w:szCs w:val="21"/>
        </w:rPr>
      </w:r>
      <w:r/>
    </w:p>
    <w:tbl>
      <w:tblPr>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5"/>
        <w:gridCol w:w="7419"/>
      </w:tblGrid>
      <w:tr>
        <w:trPr>
          <w:trHeight w:val="20"/>
          <w:tblHeader/>
        </w:trPr>
        <w:tc>
          <w:tcPr>
            <w:shd w:val="clear" w:color="auto" w:fill="bfbfbf"/>
            <w:tcW w:w="2045" w:type="dxa"/>
            <w:vAlign w:val="center"/>
            <w:textDirection w:val="lrTb"/>
            <w:noWrap w:val="false"/>
          </w:tcPr>
          <w:p>
            <w:pPr>
              <w:pStyle w:val="741"/>
              <w:jc w:val="center"/>
              <w:rPr>
                <w:rFonts w:ascii="宋体" w:hAnsi="宋体" w:cs="宋体"/>
                <w:b/>
                <w:bCs/>
                <w:szCs w:val="21"/>
              </w:rPr>
            </w:pPr>
            <w:r>
              <w:rPr>
                <w:rFonts w:hint="eastAsia" w:ascii="宋体" w:hAnsi="宋体" w:cs="宋体"/>
                <w:b/>
                <w:bCs/>
                <w:szCs w:val="21"/>
              </w:rPr>
              <w:t xml:space="preserve">指标项</w:t>
            </w:r>
            <w:r>
              <w:rPr>
                <w:rFonts w:ascii="宋体" w:hAnsi="宋体" w:cs="宋体"/>
                <w:b/>
                <w:bCs/>
                <w:szCs w:val="21"/>
              </w:rPr>
            </w:r>
            <w:r/>
          </w:p>
        </w:tc>
        <w:tc>
          <w:tcPr>
            <w:shd w:val="clear" w:color="auto" w:fill="bfbfbf"/>
            <w:tcW w:w="7419" w:type="dxa"/>
            <w:vAlign w:val="center"/>
            <w:textDirection w:val="lrTb"/>
            <w:noWrap w:val="false"/>
          </w:tcPr>
          <w:p>
            <w:pPr>
              <w:pStyle w:val="741"/>
              <w:jc w:val="center"/>
              <w:rPr>
                <w:rFonts w:ascii="宋体" w:hAnsi="宋体" w:cs="宋体"/>
                <w:b/>
                <w:bCs/>
                <w:szCs w:val="21"/>
              </w:rPr>
            </w:pPr>
            <w:r>
              <w:rPr>
                <w:rFonts w:hint="eastAsia" w:ascii="宋体" w:hAnsi="宋体" w:cs="宋体"/>
                <w:b/>
                <w:bCs/>
                <w:szCs w:val="21"/>
              </w:rPr>
              <w:t xml:space="preserve">技术规格要求</w:t>
            </w:r>
            <w:r>
              <w:rPr>
                <w:rFonts w:ascii="宋体" w:hAnsi="宋体" w:cs="宋体"/>
                <w:b/>
                <w:bCs/>
                <w:szCs w:val="21"/>
              </w:rPr>
            </w:r>
            <w:r/>
          </w:p>
        </w:tc>
      </w:tr>
      <w:tr>
        <w:trPr>
          <w:trHeight w:val="20"/>
        </w:trPr>
        <w:tc>
          <w:tcPr>
            <w:tcW w:w="2045" w:type="dxa"/>
            <w:vAlign w:val="center"/>
            <w:textDirection w:val="lrTb"/>
            <w:noWrap w:val="false"/>
          </w:tcPr>
          <w:p>
            <w:pPr>
              <w:pStyle w:val="741"/>
              <w:jc w:val="center"/>
              <w:rPr>
                <w:rFonts w:ascii="宋体" w:hAnsi="宋体" w:cs="宋体"/>
                <w:szCs w:val="21"/>
              </w:rPr>
            </w:pPr>
            <w:r>
              <w:rPr>
                <w:rFonts w:hint="eastAsia" w:ascii="宋体" w:hAnsi="宋体" w:cs="宋体"/>
                <w:szCs w:val="21"/>
              </w:rPr>
              <w:t xml:space="preserve">政府采购需求标准</w:t>
            </w:r>
            <w:r>
              <w:rPr>
                <w:rFonts w:ascii="宋体" w:hAnsi="宋体" w:cs="宋体"/>
                <w:szCs w:val="21"/>
              </w:rPr>
            </w:r>
            <w:r/>
          </w:p>
        </w:tc>
        <w:tc>
          <w:tcPr>
            <w:tcW w:w="7419" w:type="dxa"/>
            <w:vAlign w:val="center"/>
            <w:textDirection w:val="lrTb"/>
            <w:noWrap w:val="false"/>
          </w:tcPr>
          <w:p>
            <w:pPr>
              <w:pStyle w:val="959"/>
            </w:pPr>
            <w:r>
              <w:rPr>
                <w:rFonts w:hint="eastAsia" w:ascii="宋体" w:hAnsi="宋体" w:cs="宋体"/>
                <w:i/>
                <w:iCs/>
                <w:color w:val="000000"/>
                <w:u w:val="single"/>
              </w:rPr>
              <w:t xml:space="preserve">操作系统应符合《操作系统政府采购需求标准（2023年版）》（财库〔2023〕34号）要求，投标人须提供承诺函，格式自拟。</w:t>
            </w:r>
            <w:r/>
          </w:p>
        </w:tc>
      </w:tr>
    </w:tbl>
    <w:p>
      <w:pPr>
        <w:pStyle w:val="741"/>
        <w:rPr>
          <w:rFonts w:ascii="宋体" w:hAnsi="宋体" w:cs="宋体"/>
          <w:spacing w:val="3"/>
          <w:szCs w:val="21"/>
        </w:rPr>
      </w:pPr>
      <w:r>
        <w:rPr>
          <w:rFonts w:ascii="宋体" w:hAnsi="宋体" w:cs="宋体"/>
          <w:spacing w:val="3"/>
          <w:szCs w:val="21"/>
        </w:rPr>
      </w:r>
      <w:r/>
    </w:p>
    <w:p>
      <w:pPr>
        <w:pStyle w:val="741"/>
        <w:ind w:firstLine="434"/>
        <w:spacing w:line="440" w:lineRule="exact"/>
        <w:rPr>
          <w:rFonts w:ascii="宋体" w:hAnsi="宋体" w:cs="宋体"/>
          <w:b/>
          <w:bCs/>
          <w:spacing w:val="3"/>
          <w:szCs w:val="21"/>
        </w:rPr>
      </w:pPr>
      <w:r>
        <w:rPr>
          <w:rFonts w:hint="eastAsia" w:ascii="宋体" w:hAnsi="宋体" w:cs="宋体"/>
          <w:b/>
          <w:bCs/>
          <w:spacing w:val="3"/>
          <w:szCs w:val="21"/>
        </w:rPr>
        <w:t xml:space="preserve">三、商务要求</w:t>
      </w:r>
      <w:r>
        <w:rPr>
          <w:rFonts w:ascii="宋体" w:hAnsi="宋体" w:cs="宋体"/>
          <w:b/>
          <w:bCs/>
          <w:spacing w:val="3"/>
          <w:szCs w:val="21"/>
        </w:rPr>
      </w:r>
      <w:r/>
    </w:p>
    <w:p>
      <w:pPr>
        <w:pStyle w:val="741"/>
        <w:ind w:firstLine="434"/>
        <w:spacing w:line="440" w:lineRule="exact"/>
        <w:rPr>
          <w:rFonts w:ascii="宋体" w:hAnsi="宋体" w:cs="宋体"/>
          <w:b/>
          <w:bCs/>
          <w:spacing w:val="3"/>
          <w:szCs w:val="21"/>
        </w:rPr>
      </w:pPr>
      <w:r>
        <w:rPr>
          <w:rFonts w:hint="eastAsia" w:ascii="宋体" w:hAnsi="宋体" w:cs="宋体"/>
          <w:b/>
          <w:bCs/>
          <w:spacing w:val="3"/>
          <w:szCs w:val="21"/>
        </w:rPr>
        <w:t xml:space="preserve">（三）售后方案</w:t>
      </w:r>
      <w:r>
        <w:rPr>
          <w:rFonts w:ascii="宋体" w:hAnsi="宋体" w:cs="宋体"/>
          <w:b/>
          <w:bCs/>
          <w:spacing w:val="3"/>
          <w:szCs w:val="21"/>
        </w:rPr>
      </w:r>
      <w:r/>
    </w:p>
    <w:p>
      <w:pPr>
        <w:pStyle w:val="741"/>
        <w:ind w:firstLine="434"/>
        <w:spacing w:line="440" w:lineRule="exact"/>
        <w:rPr>
          <w:rFonts w:ascii="宋体" w:hAnsi="宋体" w:cs="宋体"/>
          <w:b/>
          <w:bCs/>
          <w:spacing w:val="3"/>
          <w:szCs w:val="21"/>
        </w:rPr>
      </w:pPr>
      <w:r>
        <w:rPr>
          <w:rFonts w:hint="eastAsia" w:ascii="宋体" w:hAnsi="宋体" w:cs="宋体"/>
          <w:b/>
          <w:bCs/>
          <w:spacing w:val="3"/>
          <w:szCs w:val="21"/>
        </w:rPr>
        <w:t xml:space="preserve">3.1质保及售后响应要求</w:t>
      </w:r>
      <w:r>
        <w:rPr>
          <w:rFonts w:ascii="宋体" w:hAnsi="宋体" w:cs="宋体"/>
          <w:b/>
          <w:bCs/>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3.1.1 质保期： 投标人须提供不少于3年的免费质保。质保期内，所有设备、硬件和软件产品出现的质量问题，投标人需免费进行维修、更换或修复。质保期自设备验收合格之日起计算。</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3.1.2 响应时限要求：</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鉴于本项目为驻场服务，投标人应确保在服务时间内提供及时的响应和支持。具体要求如下。即时响应与故障诊断： 驻场工程师在接到客户服务请求后，应立即响应并启动故障诊断。现场维修或替换： 对于能够在现场解决的设备故障，驻场工程师应立即进行维修或替换。无法立即修复的情况： 若设备故障无法立即在现场修复，驻场工程师应在2小时内向客户明确故障原因、预计修复时间，并制定临时解决方案（如适用）。对于需要更换的硬件设备，驻场工程师应在24小时内完成更换工作（如需从外部调配，应及时告知具体到货和更换时间）。</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3.1.3 服务支持途径：</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主要途径： 客户可以直接向驻场工程师提出服务请求。</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辅助途径： 同时提供电话、电子邮件和在线支持等多种服务途径，作为客户与投标人后台支持团队联系的补充渠道，确保在驻场工程师无法独立解决问题时，客户可以随时获得更高级别的技术支持。</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重大故障升级： 对于驻场工程师无法解决的重大故障，投标人应立即启动内部升级流程，并明确升级处理负责人和预计解决时间，确保问题得到及时有效的解决。</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3.1.4 故障记录与跟踪： 投标人需建立完整的故障处理记录，并向采购方提供故障响应和修复进度的报告。所有故障问题应做到闭环管理，确保问题得到彻底解决。</w:t>
      </w:r>
      <w:r>
        <w:rPr>
          <w:rFonts w:ascii="宋体" w:hAnsi="宋体" w:cs="宋体"/>
          <w:spacing w:val="3"/>
          <w:szCs w:val="21"/>
        </w:rPr>
      </w:r>
      <w:r/>
    </w:p>
    <w:p>
      <w:pPr>
        <w:pStyle w:val="741"/>
        <w:ind w:firstLine="434"/>
        <w:spacing w:line="440" w:lineRule="exact"/>
        <w:rPr>
          <w:rFonts w:ascii="宋体" w:hAnsi="宋体" w:cs="宋体"/>
          <w:b/>
          <w:bCs/>
          <w:spacing w:val="3"/>
          <w:szCs w:val="21"/>
        </w:rPr>
      </w:pPr>
      <w:r>
        <w:rPr>
          <w:rFonts w:hint="eastAsia" w:ascii="宋体" w:hAnsi="宋体" w:cs="宋体"/>
          <w:b/>
          <w:bCs/>
          <w:spacing w:val="3"/>
          <w:szCs w:val="21"/>
        </w:rPr>
        <w:t xml:space="preserve">3.2培训方案要求</w:t>
      </w:r>
      <w:r>
        <w:rPr>
          <w:rFonts w:ascii="宋体" w:hAnsi="宋体" w:cs="宋体"/>
          <w:b/>
          <w:bCs/>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3.2.1 培训内容：</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提供对系统管理员、操作人员全面培训，确保他们能够熟练使用、管理及维护所采购的设备与软件。</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培训内容应涵盖设备的日常操作、故障排除等方面。</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3.2.2 培训形式：</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现场培训：由投标人的资深技术人员进行面对面的现场培训。</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3.2.3 培训时间安排：</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培训应在系统正式交付前完成。 </w:t>
      </w:r>
      <w:r>
        <w:rPr>
          <w:rFonts w:ascii="宋体" w:hAnsi="宋体" w:cs="宋体"/>
          <w:spacing w:val="3"/>
          <w:szCs w:val="21"/>
        </w:rPr>
      </w:r>
      <w:r/>
    </w:p>
    <w:p>
      <w:pPr>
        <w:pStyle w:val="741"/>
        <w:ind w:firstLine="434"/>
        <w:spacing w:line="440" w:lineRule="exact"/>
        <w:rPr>
          <w:rFonts w:ascii="宋体" w:hAnsi="宋体" w:cs="宋体"/>
          <w:b/>
          <w:bCs/>
          <w:spacing w:val="3"/>
          <w:szCs w:val="21"/>
        </w:rPr>
      </w:pPr>
      <w:r>
        <w:rPr>
          <w:rFonts w:hint="eastAsia" w:ascii="宋体" w:hAnsi="宋体" w:cs="宋体"/>
          <w:b/>
          <w:bCs/>
          <w:spacing w:val="3"/>
          <w:szCs w:val="21"/>
        </w:rPr>
        <w:t xml:space="preserve">3.3系统运维方案</w:t>
      </w:r>
      <w:r>
        <w:rPr>
          <w:rFonts w:ascii="宋体" w:hAnsi="宋体" w:cs="宋体"/>
          <w:b/>
          <w:bCs/>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日常监控与巡检：实时监控系统运行状态，定期巡检硬件设备及网络环境，确保稳定运行。</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故障响应机制：建立分级故障处理流程，明确响应时间和处理责任人，保障关键业务连续性。</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安全管理：实施权限控制、日志审计和漏洞修复，加强系统防护能力，符合等保要求。</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hint="eastAsia" w:ascii="宋体" w:hAnsi="宋体" w:cs="宋体"/>
          <w:spacing w:val="3"/>
          <w:szCs w:val="21"/>
        </w:rPr>
        <w:t xml:space="preserve">服务优化与升级：根据用户反馈与性能监测，持续优化系统功能与用户体验，适时进行版本升级与扩容。</w:t>
      </w:r>
      <w:r>
        <w:rPr>
          <w:rFonts w:ascii="宋体" w:hAnsi="宋体" w:cs="宋体"/>
          <w:spacing w:val="3"/>
          <w:szCs w:val="21"/>
        </w:rPr>
      </w:r>
      <w:r/>
    </w:p>
    <w:p>
      <w:pPr>
        <w:pStyle w:val="741"/>
        <w:ind w:firstLine="432"/>
        <w:spacing w:line="440" w:lineRule="exact"/>
        <w:rPr>
          <w:rFonts w:ascii="宋体" w:hAnsi="宋体" w:cs="宋体"/>
          <w:spacing w:val="3"/>
          <w:szCs w:val="21"/>
        </w:rPr>
      </w:pPr>
      <w:r>
        <w:rPr>
          <w:rFonts w:ascii="宋体" w:hAnsi="宋体" w:cs="宋体"/>
          <w:spacing w:val="3"/>
          <w:szCs w:val="21"/>
        </w:rPr>
      </w:r>
      <w:r/>
    </w:p>
    <w:p>
      <w:pPr>
        <w:pStyle w:val="741"/>
        <w:ind w:firstLine="424"/>
        <w:spacing w:line="440" w:lineRule="exact"/>
        <w:rPr>
          <w:rFonts w:ascii="宋体" w:hAnsi="宋体" w:cs="宋体"/>
          <w:spacing w:val="1"/>
          <w:szCs w:val="21"/>
        </w:rPr>
        <w:sectPr>
          <w:headerReference w:type="default" r:id="rId9"/>
          <w:footerReference w:type="default" r:id="rId11"/>
          <w:footnotePr/>
          <w:endnotePr/>
          <w:type w:val="nextPage"/>
          <w:pgSz w:w="11907" w:h="16839" w:orient="portrait"/>
          <w:pgMar w:top="1440" w:right="1800" w:bottom="1440" w:left="1800" w:header="851" w:footer="992" w:gutter="0"/>
          <w:cols w:num="1" w:sep="0" w:space="1701" w:equalWidth="1"/>
          <w:docGrid w:linePitch="360"/>
        </w:sectPr>
      </w:pPr>
      <w:r>
        <w:rPr>
          <w:rFonts w:ascii="宋体" w:hAnsi="宋体" w:cs="宋体"/>
          <w:spacing w:val="1"/>
          <w:szCs w:val="21"/>
        </w:rPr>
      </w:r>
      <w:r/>
    </w:p>
    <w:p>
      <w:pPr>
        <w:pStyle w:val="742"/>
        <w:jc w:val="center"/>
        <w:spacing w:line="360" w:lineRule="auto"/>
        <w:rPr>
          <w:rFonts w:ascii="宋体" w:hAnsi="宋体"/>
        </w:rPr>
      </w:pPr>
      <w:r/>
      <w:bookmarkStart w:id="63" w:name="_Toc191970193"/>
      <w:r/>
      <w:bookmarkStart w:id="64" w:name="_Toc55204181"/>
      <w:r>
        <w:rPr>
          <w:rFonts w:hint="eastAsia" w:ascii="宋体" w:hAnsi="宋体"/>
        </w:rPr>
        <w:t xml:space="preserve">第五章 评标方法及评标标准</w:t>
      </w:r>
      <w:bookmarkEnd w:id="63"/>
      <w:r/>
      <w:bookmarkEnd w:id="64"/>
      <w:r>
        <w:rPr>
          <w:rFonts w:ascii="宋体" w:hAnsi="宋体"/>
        </w:rPr>
      </w:r>
      <w:r/>
    </w:p>
    <w:p>
      <w:pPr>
        <w:pStyle w:val="941"/>
        <w:ind w:firstLine="422"/>
        <w:rPr>
          <w:rFonts w:ascii="宋体" w:hAnsi="宋体"/>
          <w:b/>
          <w:sz w:val="21"/>
          <w:szCs w:val="21"/>
        </w:rPr>
      </w:pPr>
      <w:r>
        <w:rPr>
          <w:rFonts w:hint="eastAsia" w:ascii="宋体" w:hAnsi="宋体"/>
          <w:b/>
          <w:sz w:val="21"/>
          <w:szCs w:val="21"/>
        </w:rPr>
        <w:t xml:space="preserve">一、评标方法</w:t>
      </w:r>
      <w:r>
        <w:rPr>
          <w:rFonts w:ascii="宋体" w:hAnsi="宋体"/>
          <w:b/>
          <w:sz w:val="21"/>
          <w:szCs w:val="21"/>
        </w:rPr>
      </w:r>
      <w:r/>
    </w:p>
    <w:p>
      <w:pPr>
        <w:pStyle w:val="941"/>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sz w:val="21"/>
          <w:szCs w:val="21"/>
        </w:rPr>
      </w:r>
      <w:r/>
    </w:p>
    <w:p>
      <w:pPr>
        <w:pStyle w:val="741"/>
        <w:ind w:firstLine="422"/>
        <w:spacing w:line="360" w:lineRule="auto"/>
        <w:rPr>
          <w:rFonts w:ascii="宋体" w:hAnsi="宋体"/>
          <w:b/>
          <w:szCs w:val="21"/>
        </w:rPr>
      </w:pPr>
      <w:r/>
      <w:bookmarkStart w:id="65" w:name="_Toc449016388"/>
      <w:r/>
      <w:bookmarkStart w:id="66" w:name="_Toc449017024"/>
      <w:r>
        <w:rPr>
          <w:rFonts w:ascii="宋体" w:hAnsi="宋体"/>
          <w:b/>
          <w:szCs w:val="21"/>
        </w:rPr>
        <w:t xml:space="preserve">二、</w:t>
      </w:r>
      <w:r>
        <w:rPr>
          <w:rFonts w:hint="eastAsia" w:ascii="宋体" w:hAnsi="宋体"/>
          <w:b/>
          <w:szCs w:val="21"/>
        </w:rPr>
        <w:t xml:space="preserve">政府采购政策功能落实</w:t>
      </w:r>
      <w:bookmarkEnd w:id="65"/>
      <w:r/>
      <w:bookmarkEnd w:id="66"/>
      <w:r>
        <w:rPr>
          <w:rFonts w:ascii="宋体" w:hAnsi="宋体"/>
          <w:b/>
          <w:szCs w:val="21"/>
        </w:rPr>
      </w:r>
      <w:r/>
    </w:p>
    <w:p>
      <w:pPr>
        <w:pStyle w:val="741"/>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szCs w:val="21"/>
        </w:rPr>
      </w:r>
      <w:r/>
    </w:p>
    <w:p>
      <w:pPr>
        <w:pStyle w:val="941"/>
        <w:ind w:firstLine="420"/>
        <w:spacing w:before="0" w:after="0"/>
        <w:rPr>
          <w:rFonts w:ascii="宋体" w:hAnsi="宋体"/>
          <w:sz w:val="21"/>
          <w:szCs w:val="21"/>
        </w:rPr>
      </w:pPr>
      <w:r>
        <w:rPr>
          <w:rFonts w:ascii="宋体" w:hAnsi="宋体"/>
          <w:sz w:val="21"/>
          <w:szCs w:val="21"/>
        </w:rPr>
        <w:t xml:space="preserve">1、小微型企业价格扣除</w:t>
      </w:r>
      <w:r>
        <w:rPr>
          <w:rFonts w:ascii="宋体" w:hAnsi="宋体"/>
          <w:sz w:val="21"/>
          <w:szCs w:val="21"/>
        </w:rPr>
      </w:r>
      <w:r/>
    </w:p>
    <w:p>
      <w:pPr>
        <w:pStyle w:val="941"/>
        <w:ind w:firstLine="420"/>
        <w:spacing w:before="0" w:after="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rPr>
          <w:rFonts w:ascii="宋体" w:hAnsi="宋体"/>
          <w:sz w:val="21"/>
          <w:szCs w:val="21"/>
        </w:rPr>
      </w:r>
      <w:r/>
    </w:p>
    <w:p>
      <w:pPr>
        <w:pStyle w:val="941"/>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rPr>
          <w:rFonts w:ascii="宋体" w:hAnsi="宋体"/>
          <w:sz w:val="21"/>
          <w:szCs w:val="21"/>
        </w:rPr>
      </w:r>
      <w:r/>
    </w:p>
    <w:p>
      <w:pPr>
        <w:pStyle w:val="941"/>
        <w:ind w:firstLine="420"/>
        <w:spacing w:before="0" w:after="0"/>
        <w:rPr>
          <w:rFonts w:ascii="宋体" w:hAnsi="宋体"/>
          <w:sz w:val="21"/>
          <w:szCs w:val="21"/>
        </w:rPr>
      </w:pPr>
      <w:r>
        <w:rPr>
          <w:rFonts w:ascii="宋体" w:hAnsi="宋体"/>
          <w:sz w:val="21"/>
          <w:szCs w:val="21"/>
        </w:rPr>
        <w:t xml:space="preserve">2、残疾人福利单位价格扣除</w:t>
      </w:r>
      <w:r>
        <w:rPr>
          <w:rFonts w:ascii="宋体" w:hAnsi="宋体"/>
          <w:sz w:val="21"/>
          <w:szCs w:val="21"/>
        </w:rPr>
      </w:r>
      <w:r/>
    </w:p>
    <w:p>
      <w:pPr>
        <w:pStyle w:val="941"/>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rPr>
          <w:rFonts w:ascii="宋体" w:hAnsi="宋体"/>
          <w:sz w:val="21"/>
          <w:szCs w:val="21"/>
        </w:rPr>
      </w:r>
      <w:r/>
    </w:p>
    <w:p>
      <w:pPr>
        <w:pStyle w:val="941"/>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rPr>
          <w:rFonts w:ascii="宋体" w:hAnsi="宋体"/>
          <w:sz w:val="21"/>
          <w:szCs w:val="21"/>
        </w:rPr>
      </w:r>
      <w:r/>
    </w:p>
    <w:p>
      <w:pPr>
        <w:pStyle w:val="941"/>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rPr>
          <w:rFonts w:ascii="宋体" w:hAnsi="宋体"/>
          <w:sz w:val="21"/>
          <w:szCs w:val="21"/>
        </w:rPr>
      </w:r>
      <w:r/>
    </w:p>
    <w:p>
      <w:pPr>
        <w:pStyle w:val="941"/>
        <w:ind w:firstLine="420"/>
        <w:spacing w:before="0" w:after="0"/>
        <w:rPr>
          <w:rFonts w:ascii="宋体" w:hAnsi="宋体"/>
          <w:sz w:val="21"/>
          <w:szCs w:val="21"/>
        </w:rPr>
      </w:pPr>
      <w:r>
        <w:rPr>
          <w:rFonts w:ascii="宋体" w:hAnsi="宋体"/>
          <w:sz w:val="21"/>
          <w:szCs w:val="21"/>
        </w:rPr>
        <w:t xml:space="preserve">3、监狱和戒毒企业价格扣除</w:t>
      </w:r>
      <w:r>
        <w:rPr>
          <w:rFonts w:ascii="宋体" w:hAnsi="宋体"/>
          <w:sz w:val="21"/>
          <w:szCs w:val="21"/>
        </w:rPr>
      </w:r>
      <w:r/>
    </w:p>
    <w:p>
      <w:pPr>
        <w:pStyle w:val="941"/>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rPr>
          <w:rFonts w:ascii="宋体" w:hAnsi="宋体"/>
          <w:sz w:val="21"/>
          <w:szCs w:val="21"/>
        </w:rPr>
      </w:r>
      <w:r/>
    </w:p>
    <w:p>
      <w:pPr>
        <w:pStyle w:val="941"/>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1"/>
          <w:szCs w:val="21"/>
        </w:rPr>
      </w:r>
      <w:r/>
    </w:p>
    <w:p>
      <w:pPr>
        <w:pStyle w:val="941"/>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rPr>
          <w:rFonts w:ascii="宋体" w:hAnsi="宋体"/>
          <w:sz w:val="21"/>
          <w:szCs w:val="21"/>
        </w:rPr>
      </w:r>
      <w:r/>
    </w:p>
    <w:p>
      <w:pPr>
        <w:pStyle w:val="941"/>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rPr>
          <w:rFonts w:ascii="宋体" w:hAnsi="宋体"/>
          <w:sz w:val="21"/>
          <w:szCs w:val="21"/>
        </w:rPr>
      </w:r>
      <w:r/>
    </w:p>
    <w:p>
      <w:pPr>
        <w:pStyle w:val="941"/>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rPr>
          <w:rFonts w:ascii="宋体" w:hAnsi="宋体"/>
          <w:sz w:val="21"/>
          <w:szCs w:val="21"/>
        </w:rPr>
      </w:r>
      <w:r/>
    </w:p>
    <w:p>
      <w:pPr>
        <w:pStyle w:val="941"/>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rPr>
          <w:rFonts w:ascii="宋体" w:hAnsi="宋体"/>
          <w:sz w:val="21"/>
          <w:szCs w:val="21"/>
        </w:rPr>
      </w:r>
      <w:r/>
    </w:p>
    <w:p>
      <w:pPr>
        <w:pStyle w:val="941"/>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rPr>
          <w:rFonts w:ascii="宋体" w:hAnsi="宋体"/>
          <w:sz w:val="21"/>
          <w:szCs w:val="21"/>
        </w:rPr>
      </w:r>
      <w:r/>
    </w:p>
    <w:p>
      <w:pPr>
        <w:pStyle w:val="941"/>
        <w:ind w:firstLine="422"/>
        <w:rPr>
          <w:rFonts w:ascii="宋体" w:hAnsi="宋体"/>
          <w:b/>
          <w:sz w:val="21"/>
          <w:szCs w:val="21"/>
        </w:rPr>
        <w:outlineLvl w:val="1"/>
      </w:pPr>
      <w:r>
        <w:rPr>
          <w:rFonts w:hint="eastAsia" w:ascii="宋体" w:hAnsi="宋体"/>
          <w:b/>
          <w:sz w:val="21"/>
          <w:szCs w:val="21"/>
        </w:rPr>
        <w:t xml:space="preserve">三、评标标准</w:t>
      </w:r>
      <w:r>
        <w:rPr>
          <w:rFonts w:ascii="宋体" w:hAnsi="宋体"/>
          <w:b/>
          <w:sz w:val="21"/>
          <w:szCs w:val="21"/>
        </w:rPr>
      </w:r>
      <w:r/>
    </w:p>
    <w:tbl>
      <w:tblPr>
        <w:tblW w:w="8797" w:type="dxa"/>
        <w:jc w:val="center"/>
        <w:tblInd w:w="-11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815"/>
        <w:gridCol w:w="6982"/>
      </w:tblGrid>
      <w:tr>
        <w:trPr>
          <w:trHeight w:val="665"/>
        </w:trPr>
        <w:tc>
          <w:tcPr>
            <w:tcW w:w="1815" w:type="dxa"/>
            <w:vAlign w:val="center"/>
            <w:textDirection w:val="lrTb"/>
            <w:noWrap w:val="false"/>
          </w:tcPr>
          <w:p>
            <w:pPr>
              <w:pStyle w:val="960"/>
              <w:jc w:val="center"/>
              <w:spacing w:line="400" w:lineRule="exact"/>
              <w:rPr>
                <w:rFonts w:ascii="宋体" w:hAnsi="宋体" w:cs="宋体"/>
                <w:b/>
                <w:bCs/>
                <w:color w:val="000000"/>
                <w:szCs w:val="21"/>
              </w:rPr>
            </w:pPr>
            <w:r>
              <w:rPr>
                <w:rFonts w:hint="eastAsia" w:ascii="宋体" w:hAnsi="宋体" w:cs="宋体"/>
                <w:b/>
                <w:bCs/>
                <w:color w:val="000000"/>
                <w:szCs w:val="21"/>
              </w:rPr>
              <w:t xml:space="preserve">项目</w:t>
            </w:r>
            <w:r>
              <w:rPr>
                <w:rFonts w:ascii="宋体" w:hAnsi="宋体" w:cs="宋体"/>
                <w:b/>
                <w:bCs/>
                <w:color w:val="000000"/>
                <w:szCs w:val="21"/>
              </w:rPr>
            </w:r>
            <w:r/>
          </w:p>
        </w:tc>
        <w:tc>
          <w:tcPr>
            <w:tcW w:w="6982" w:type="dxa"/>
            <w:vAlign w:val="center"/>
            <w:textDirection w:val="lrTb"/>
            <w:noWrap w:val="false"/>
          </w:tcPr>
          <w:p>
            <w:pPr>
              <w:pStyle w:val="960"/>
              <w:jc w:val="center"/>
              <w:spacing w:line="400" w:lineRule="exact"/>
              <w:rPr>
                <w:rFonts w:ascii="宋体" w:hAnsi="宋体" w:cs="宋体"/>
                <w:b/>
                <w:bCs/>
                <w:color w:val="000000"/>
                <w:szCs w:val="21"/>
              </w:rPr>
            </w:pPr>
            <w:r>
              <w:rPr>
                <w:rFonts w:hint="eastAsia" w:ascii="宋体" w:hAnsi="宋体" w:cs="宋体"/>
                <w:b/>
                <w:bCs/>
                <w:color w:val="000000"/>
                <w:szCs w:val="21"/>
              </w:rPr>
              <w:t xml:space="preserve">评分标准</w:t>
            </w:r>
            <w:r>
              <w:rPr>
                <w:rFonts w:ascii="宋体" w:hAnsi="宋体" w:cs="宋体"/>
                <w:b/>
                <w:bCs/>
                <w:color w:val="000000"/>
                <w:szCs w:val="21"/>
              </w:rPr>
            </w:r>
            <w:r/>
          </w:p>
        </w:tc>
      </w:tr>
      <w:tr>
        <w:trPr>
          <w:trHeight w:val="1160"/>
        </w:trPr>
        <w:tc>
          <w:tcPr>
            <w:tcW w:w="1815" w:type="dxa"/>
            <w:vAlign w:val="center"/>
            <w:textDirection w:val="lrTb"/>
            <w:noWrap w:val="false"/>
          </w:tcPr>
          <w:p>
            <w:pPr>
              <w:pStyle w:val="960"/>
              <w:jc w:val="center"/>
              <w:spacing w:line="400" w:lineRule="exact"/>
              <w:rPr>
                <w:rFonts w:ascii="宋体" w:hAnsi="宋体" w:cs="宋体"/>
                <w:b/>
                <w:bCs/>
                <w:color w:val="000000"/>
                <w:szCs w:val="21"/>
              </w:rPr>
            </w:pPr>
            <w:r>
              <w:rPr>
                <w:rFonts w:hint="eastAsia" w:ascii="宋体" w:hAnsi="宋体" w:cs="宋体"/>
                <w:b/>
                <w:bCs/>
                <w:color w:val="000000"/>
                <w:szCs w:val="21"/>
              </w:rPr>
              <w:t xml:space="preserve">价格</w:t>
            </w:r>
            <w:r>
              <w:rPr>
                <w:rFonts w:ascii="宋体" w:hAnsi="宋体" w:cs="宋体"/>
                <w:b/>
                <w:bCs/>
                <w:color w:val="000000"/>
                <w:szCs w:val="21"/>
              </w:rPr>
            </w:r>
            <w:r/>
          </w:p>
          <w:p>
            <w:pPr>
              <w:pStyle w:val="960"/>
              <w:jc w:val="center"/>
              <w:spacing w:line="400" w:lineRule="exact"/>
              <w:rPr>
                <w:rFonts w:ascii="宋体" w:hAnsi="宋体" w:cs="宋体"/>
                <w:b/>
                <w:bCs/>
                <w:color w:val="000000"/>
                <w:szCs w:val="21"/>
                <w:highlight w:val="green"/>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4</w:t>
            </w:r>
            <w:r>
              <w:rPr>
                <w:rFonts w:hint="eastAsia" w:ascii="宋体" w:hAnsi="宋体" w:cs="宋体"/>
                <w:b/>
                <w:bCs/>
                <w:color w:val="000000"/>
                <w:szCs w:val="21"/>
              </w:rPr>
              <w:t xml:space="preserve">0分）</w:t>
            </w:r>
            <w:r>
              <w:rPr>
                <w:rFonts w:ascii="宋体" w:hAnsi="宋体" w:cs="宋体"/>
                <w:b/>
                <w:bCs/>
                <w:color w:val="000000"/>
                <w:szCs w:val="21"/>
                <w:highlight w:val="green"/>
              </w:rPr>
            </w:r>
            <w:r/>
          </w:p>
        </w:tc>
        <w:tc>
          <w:tcPr>
            <w:tcW w:w="6982" w:type="dxa"/>
            <w:vAlign w:val="center"/>
            <w:textDirection w:val="lrTb"/>
            <w:noWrap w:val="false"/>
          </w:tcPr>
          <w:p>
            <w:pPr>
              <w:pStyle w:val="960"/>
              <w:spacing w:line="400" w:lineRule="exact"/>
              <w:rPr>
                <w:rFonts w:ascii="宋体" w:hAnsi="宋体" w:cs="宋体"/>
                <w:color w:val="000000"/>
                <w:szCs w:val="21"/>
                <w:highlight w:val="green"/>
              </w:rPr>
            </w:pPr>
            <w:r>
              <w:rPr>
                <w:rFonts w:hint="eastAsia" w:ascii="宋体" w:hAnsi="宋体" w:cs="宋体"/>
                <w:color w:val="000000"/>
                <w:szCs w:val="21"/>
              </w:rPr>
              <w:t xml:space="preserve">以满足招标文件要求的最低投标报价为评标基准价，得满分</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0分，其他投标报价得分＝（评标基准价/其他投标报价）×</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0×100％。</w:t>
            </w:r>
            <w:r>
              <w:rPr>
                <w:rFonts w:ascii="宋体" w:hAnsi="宋体" w:cs="宋体"/>
                <w:color w:val="000000"/>
                <w:szCs w:val="21"/>
                <w:highlight w:val="green"/>
              </w:rPr>
            </w:r>
            <w:r/>
          </w:p>
        </w:tc>
      </w:tr>
      <w:tr>
        <w:trPr>
          <w:trHeight w:val="1455"/>
        </w:trPr>
        <w:tc>
          <w:tcPr>
            <w:tcW w:w="1815" w:type="dxa"/>
            <w:vAlign w:val="center"/>
            <w:textDirection w:val="lrTb"/>
            <w:noWrap w:val="false"/>
          </w:tcPr>
          <w:p>
            <w:pPr>
              <w:pStyle w:val="960"/>
              <w:jc w:val="center"/>
              <w:spacing w:line="400" w:lineRule="exact"/>
              <w:rPr>
                <w:rFonts w:ascii="宋体" w:hAnsi="宋体" w:cs="宋体"/>
                <w:b/>
                <w:bCs/>
                <w:color w:val="000000"/>
                <w:szCs w:val="21"/>
                <w:lang w:val="zh-CN"/>
              </w:rPr>
            </w:pPr>
            <w:r>
              <w:rPr>
                <w:rFonts w:hint="eastAsia" w:ascii="宋体" w:hAnsi="宋体" w:cs="宋体"/>
                <w:b/>
                <w:bCs/>
                <w:color w:val="000000"/>
                <w:szCs w:val="21"/>
                <w:lang w:val="zh-CN"/>
              </w:rPr>
              <w:t xml:space="preserve">产品参数及配置</w:t>
            </w:r>
            <w:r>
              <w:rPr>
                <w:rFonts w:ascii="宋体" w:hAnsi="宋体" w:cs="宋体"/>
                <w:b/>
                <w:bCs/>
                <w:color w:val="000000"/>
                <w:szCs w:val="21"/>
                <w:lang w:val="zh-CN"/>
              </w:rPr>
            </w:r>
            <w:r/>
          </w:p>
          <w:p>
            <w:pPr>
              <w:pStyle w:val="960"/>
              <w:jc w:val="center"/>
              <w:spacing w:line="400" w:lineRule="exact"/>
              <w:rPr>
                <w:rFonts w:ascii="宋体" w:hAnsi="宋体" w:cs="宋体"/>
                <w:b/>
                <w:bCs/>
                <w:color w:val="000000"/>
                <w:szCs w:val="21"/>
              </w:rPr>
            </w:pPr>
            <w:r>
              <w:rPr>
                <w:rFonts w:hint="eastAsia" w:ascii="宋体" w:hAnsi="宋体" w:cs="宋体"/>
                <w:b/>
                <w:bCs/>
                <w:color w:val="000000"/>
                <w:szCs w:val="21"/>
              </w:rPr>
              <w:t xml:space="preserve">（21分）</w:t>
            </w:r>
            <w:r>
              <w:rPr>
                <w:rFonts w:ascii="宋体" w:hAnsi="宋体" w:cs="宋体"/>
                <w:b/>
                <w:bCs/>
                <w:color w:val="000000"/>
                <w:szCs w:val="21"/>
              </w:rPr>
            </w:r>
            <w:r/>
          </w:p>
        </w:tc>
        <w:tc>
          <w:tcPr>
            <w:tcW w:w="6982" w:type="dxa"/>
            <w:vAlign w:val="top"/>
            <w:textDirection w:val="lrTb"/>
            <w:noWrap w:val="false"/>
          </w:tcPr>
          <w:p>
            <w:pPr>
              <w:pStyle w:val="960"/>
              <w:spacing w:line="400" w:lineRule="exact"/>
              <w:rPr>
                <w:rFonts w:ascii="宋体" w:hAnsi="宋体" w:cs="宋体"/>
                <w:color w:val="000000"/>
                <w:szCs w:val="21"/>
              </w:rPr>
            </w:pPr>
            <w:r>
              <w:rPr>
                <w:rStyle w:val="753"/>
                <w:rFonts w:hint="eastAsia" w:ascii="宋体" w:hAnsi="宋体" w:cs="宋体"/>
                <w:bCs/>
                <w:color w:val="000000"/>
                <w:szCs w:val="21"/>
              </w:rPr>
              <w:t xml:space="preserve">根据投标人提供的《技术参数响应及偏离表》和证明材料情况，完全满足或高于招标文件要求的得 21 分。标注★部分有一项不满足或负偏离的扣3分。</w:t>
            </w:r>
            <w:r>
              <w:rPr>
                <w:rFonts w:ascii="宋体" w:hAnsi="宋体" w:cs="宋体"/>
                <w:color w:val="000000"/>
                <w:szCs w:val="21"/>
              </w:rPr>
            </w:r>
            <w:r/>
          </w:p>
        </w:tc>
      </w:tr>
      <w:tr>
        <w:trPr>
          <w:trHeight w:val="3895"/>
        </w:trPr>
        <w:tc>
          <w:tcPr>
            <w:tcW w:w="1815" w:type="dxa"/>
            <w:vAlign w:val="center"/>
            <w:textDirection w:val="lrTb"/>
            <w:noWrap w:val="false"/>
          </w:tcPr>
          <w:p>
            <w:pPr>
              <w:pStyle w:val="960"/>
              <w:jc w:val="center"/>
              <w:spacing w:line="400" w:lineRule="exact"/>
              <w:rPr>
                <w:rFonts w:ascii="宋体" w:hAnsi="宋体" w:cs="宋体"/>
                <w:b/>
                <w:bCs/>
                <w:color w:val="000000"/>
                <w:szCs w:val="21"/>
                <w:lang w:val="zh-CN"/>
              </w:rPr>
            </w:pPr>
            <w:r>
              <w:rPr>
                <w:rFonts w:hint="eastAsia" w:ascii="宋体" w:hAnsi="宋体" w:cs="宋体"/>
                <w:b/>
                <w:bCs/>
                <w:color w:val="000000"/>
                <w:szCs w:val="21"/>
                <w:lang w:val="zh-CN"/>
              </w:rPr>
              <w:t xml:space="preserve">系统</w:t>
            </w:r>
            <w:r>
              <w:rPr>
                <w:rFonts w:hint="eastAsia" w:ascii="宋体" w:hAnsi="宋体" w:cs="宋体"/>
                <w:b/>
                <w:bCs/>
                <w:color w:val="000000"/>
                <w:szCs w:val="21"/>
              </w:rPr>
              <w:t xml:space="preserve">技术</w:t>
            </w:r>
            <w:r>
              <w:rPr>
                <w:rFonts w:hint="eastAsia" w:ascii="宋体" w:hAnsi="宋体" w:cs="宋体"/>
                <w:b/>
                <w:bCs/>
                <w:color w:val="000000"/>
                <w:szCs w:val="21"/>
                <w:lang w:val="zh-CN"/>
              </w:rPr>
              <w:t xml:space="preserve">方案（</w:t>
            </w:r>
            <w:r>
              <w:rPr>
                <w:rFonts w:hint="eastAsia" w:ascii="宋体" w:hAnsi="宋体" w:cs="宋体"/>
                <w:b/>
                <w:bCs/>
                <w:color w:val="000000"/>
                <w:szCs w:val="21"/>
              </w:rPr>
              <w:t xml:space="preserve">15分</w:t>
            </w:r>
            <w:r>
              <w:rPr>
                <w:rFonts w:hint="eastAsia" w:ascii="宋体" w:hAnsi="宋体" w:cs="宋体"/>
                <w:b/>
                <w:bCs/>
                <w:color w:val="000000"/>
                <w:szCs w:val="21"/>
                <w:lang w:val="zh-CN"/>
              </w:rPr>
              <w:t xml:space="preserve">）</w:t>
            </w:r>
            <w:r>
              <w:rPr>
                <w:rFonts w:ascii="宋体" w:hAnsi="宋体" w:cs="宋体"/>
                <w:b/>
                <w:bCs/>
                <w:color w:val="000000"/>
                <w:szCs w:val="21"/>
                <w:lang w:val="zh-CN"/>
              </w:rPr>
            </w:r>
            <w:r/>
          </w:p>
        </w:tc>
        <w:tc>
          <w:tcPr>
            <w:tcW w:w="6982" w:type="dxa"/>
            <w:vAlign w:val="top"/>
            <w:textDirection w:val="lrTb"/>
            <w:noWrap w:val="false"/>
          </w:tcPr>
          <w:p>
            <w:pPr>
              <w:pStyle w:val="960"/>
              <w:spacing w:line="400" w:lineRule="exact"/>
              <w:rPr>
                <w:rFonts w:ascii="宋体" w:hAnsi="宋体" w:cs="宋体"/>
                <w:color w:val="000000"/>
                <w:szCs w:val="21"/>
              </w:rPr>
            </w:pPr>
            <w:r>
              <w:rPr>
                <w:rFonts w:hint="eastAsia" w:ascii="宋体" w:hAnsi="宋体" w:cs="宋体"/>
                <w:color w:val="000000"/>
                <w:szCs w:val="21"/>
              </w:rPr>
              <w:t xml:space="preserve">投标人需要充分了解采购人现状并提出完整合理的系统技术方案，完全符合相关标准，能满足采购人实际业务需求，投标人针对本项目提供的系统技术方案应包含以下内容：</w:t>
            </w:r>
            <w:r>
              <w:rPr>
                <w:rFonts w:ascii="宋体" w:hAnsi="宋体" w:cs="宋体"/>
                <w:color w:val="000000"/>
                <w:szCs w:val="21"/>
              </w:rPr>
            </w:r>
            <w:r/>
          </w:p>
          <w:p>
            <w:pPr>
              <w:pStyle w:val="960"/>
              <w:spacing w:line="400" w:lineRule="exact"/>
              <w:rPr>
                <w:rFonts w:ascii="宋体" w:hAnsi="宋体" w:cs="宋体"/>
                <w:color w:val="000000"/>
                <w:szCs w:val="21"/>
              </w:rPr>
            </w:pPr>
            <w:r>
              <w:rPr>
                <w:rFonts w:hint="eastAsia" w:ascii="宋体" w:hAnsi="宋体" w:cs="宋体"/>
                <w:color w:val="000000"/>
                <w:szCs w:val="21"/>
              </w:rPr>
              <w:t xml:space="preserve">1.数据交换方案。根据方案进行评审:优于招标文件要求的得5分；符合招标文件要求的得3分；不符合要求或未提供的不得分。</w:t>
            </w:r>
            <w:r>
              <w:rPr>
                <w:rFonts w:ascii="宋体" w:hAnsi="宋体" w:cs="宋体"/>
                <w:color w:val="000000"/>
                <w:szCs w:val="21"/>
              </w:rPr>
            </w:r>
            <w:r/>
          </w:p>
          <w:p>
            <w:pPr>
              <w:pStyle w:val="960"/>
              <w:spacing w:line="400" w:lineRule="exact"/>
              <w:rPr>
                <w:rFonts w:ascii="宋体" w:hAnsi="宋体" w:cs="宋体"/>
                <w:color w:val="000000"/>
                <w:szCs w:val="21"/>
              </w:rPr>
            </w:pPr>
            <w:r>
              <w:rPr>
                <w:rFonts w:hint="eastAsia" w:ascii="宋体" w:hAnsi="宋体" w:cs="宋体"/>
                <w:color w:val="000000"/>
                <w:szCs w:val="21"/>
              </w:rPr>
              <w:t xml:space="preserve">2.系统对接联调方案。根据方案进行评审:优于招标文件要求的得5分；符合招标文件要求的得3分；不符合要求或未提供的不得分。</w:t>
            </w:r>
            <w:r>
              <w:rPr>
                <w:rFonts w:ascii="宋体" w:hAnsi="宋体" w:cs="宋体"/>
                <w:color w:val="000000"/>
                <w:szCs w:val="21"/>
              </w:rPr>
            </w:r>
            <w:r/>
          </w:p>
          <w:p>
            <w:pPr>
              <w:pStyle w:val="960"/>
              <w:spacing w:line="400" w:lineRule="exact"/>
              <w:rPr>
                <w:rFonts w:ascii="宋体" w:hAnsi="宋体" w:cs="宋体"/>
                <w:color w:val="000000"/>
                <w:szCs w:val="21"/>
              </w:rPr>
            </w:pPr>
            <w:r>
              <w:rPr>
                <w:rFonts w:hint="eastAsia" w:ascii="宋体" w:hAnsi="宋体" w:cs="宋体"/>
                <w:color w:val="000000"/>
                <w:szCs w:val="21"/>
              </w:rPr>
              <w:t xml:space="preserve">3.系统集成实施方案。根据方案进行评审:优于招标文件要求的得5分；符合招标文件要求的得3分；不符合要求或未提供的不得分。</w:t>
            </w:r>
            <w:r>
              <w:rPr>
                <w:rFonts w:ascii="宋体" w:hAnsi="宋体" w:cs="宋体"/>
                <w:color w:val="000000"/>
                <w:szCs w:val="21"/>
              </w:rPr>
            </w:r>
            <w:r/>
          </w:p>
        </w:tc>
      </w:tr>
      <w:tr>
        <w:trPr>
          <w:trHeight w:val="1835"/>
        </w:trPr>
        <w:tc>
          <w:tcPr>
            <w:tcW w:w="1815" w:type="dxa"/>
            <w:vAlign w:val="center"/>
            <w:textDirection w:val="lrTb"/>
            <w:noWrap w:val="false"/>
          </w:tcPr>
          <w:p>
            <w:pPr>
              <w:pStyle w:val="960"/>
              <w:jc w:val="center"/>
              <w:spacing w:line="400" w:lineRule="exact"/>
              <w:rPr>
                <w:rFonts w:ascii="宋体" w:hAnsi="宋体" w:cs="宋体"/>
                <w:b/>
                <w:bCs/>
                <w:color w:val="000000"/>
                <w:szCs w:val="21"/>
              </w:rPr>
            </w:pPr>
            <w:r>
              <w:rPr>
                <w:rFonts w:hint="eastAsia" w:ascii="宋体" w:hAnsi="宋体" w:cs="宋体"/>
                <w:b/>
                <w:bCs/>
                <w:color w:val="000000"/>
                <w:szCs w:val="21"/>
              </w:rPr>
              <w:t xml:space="preserve">数据迁移方案</w:t>
            </w:r>
            <w:r>
              <w:rPr>
                <w:rFonts w:ascii="宋体" w:hAnsi="宋体" w:cs="宋体"/>
                <w:b/>
                <w:bCs/>
                <w:color w:val="000000"/>
                <w:szCs w:val="21"/>
              </w:rPr>
            </w:r>
            <w:r/>
          </w:p>
          <w:p>
            <w:pPr>
              <w:pStyle w:val="960"/>
              <w:jc w:val="center"/>
              <w:spacing w:line="400" w:lineRule="exact"/>
              <w:rPr>
                <w:rFonts w:ascii="宋体" w:hAnsi="宋体" w:cs="宋体"/>
                <w:b/>
                <w:bCs/>
                <w:color w:val="000000"/>
                <w:szCs w:val="21"/>
              </w:rPr>
            </w:pPr>
            <w:r>
              <w:rPr>
                <w:rFonts w:hint="eastAsia" w:ascii="宋体" w:hAnsi="宋体" w:cs="宋体"/>
                <w:b/>
                <w:bCs/>
                <w:color w:val="000000"/>
                <w:szCs w:val="21"/>
              </w:rPr>
              <w:t xml:space="preserve">（5分）</w:t>
            </w:r>
            <w:r>
              <w:rPr>
                <w:rFonts w:ascii="宋体" w:hAnsi="宋体" w:cs="宋体"/>
                <w:b/>
                <w:bCs/>
                <w:color w:val="000000"/>
                <w:szCs w:val="21"/>
              </w:rPr>
            </w:r>
            <w:r/>
          </w:p>
        </w:tc>
        <w:tc>
          <w:tcPr>
            <w:tcW w:w="6982" w:type="dxa"/>
            <w:vAlign w:val="center"/>
            <w:textDirection w:val="lrTb"/>
            <w:noWrap w:val="false"/>
          </w:tcPr>
          <w:p>
            <w:pPr>
              <w:pStyle w:val="960"/>
              <w:spacing w:line="400" w:lineRule="exact"/>
              <w:rPr>
                <w:rFonts w:ascii="宋体" w:hAnsi="宋体" w:cs="宋体"/>
                <w:color w:val="000000"/>
                <w:szCs w:val="21"/>
              </w:rPr>
            </w:pPr>
            <w:r>
              <w:rPr>
                <w:rFonts w:hint="eastAsia" w:ascii="宋体" w:hAnsi="宋体" w:cs="宋体"/>
                <w:color w:val="000000"/>
                <w:szCs w:val="21"/>
              </w:rPr>
              <w:t xml:space="preserve">投标人需要充分了解采购人现状并提出完整合理的数据迁移方案，完全符合相关标准，能满足采购人实际业务需求。根据方案进行评审:优于招标文件要求的得5分；符合招标文件要求的得3分；不符合要求或未提供的不得分。</w:t>
            </w:r>
            <w:r>
              <w:rPr>
                <w:rFonts w:ascii="宋体" w:hAnsi="宋体" w:cs="宋体"/>
                <w:color w:val="000000"/>
                <w:szCs w:val="21"/>
              </w:rPr>
            </w:r>
            <w:r/>
          </w:p>
        </w:tc>
      </w:tr>
      <w:tr>
        <w:trPr>
          <w:trHeight w:val="2135"/>
        </w:trPr>
        <w:tc>
          <w:tcPr>
            <w:tcW w:w="1815" w:type="dxa"/>
            <w:vAlign w:val="center"/>
            <w:textDirection w:val="lrTb"/>
            <w:noWrap w:val="false"/>
          </w:tcPr>
          <w:p>
            <w:pPr>
              <w:pStyle w:val="960"/>
              <w:jc w:val="center"/>
              <w:spacing w:line="400" w:lineRule="exact"/>
              <w:rPr>
                <w:rFonts w:ascii="宋体" w:hAnsi="宋体" w:cs="宋体"/>
                <w:b/>
                <w:bCs/>
                <w:color w:val="000000"/>
                <w:szCs w:val="21"/>
              </w:rPr>
            </w:pPr>
            <w:r>
              <w:rPr>
                <w:rFonts w:hint="eastAsia" w:ascii="宋体" w:hAnsi="宋体" w:cs="宋体"/>
                <w:b/>
                <w:bCs/>
                <w:color w:val="000000"/>
                <w:szCs w:val="21"/>
              </w:rPr>
              <w:t xml:space="preserve">业绩</w:t>
            </w:r>
            <w:r>
              <w:rPr>
                <w:rFonts w:ascii="宋体" w:hAnsi="宋体" w:cs="宋体"/>
                <w:b/>
                <w:bCs/>
                <w:color w:val="000000"/>
                <w:szCs w:val="21"/>
              </w:rPr>
            </w:r>
            <w:r/>
          </w:p>
          <w:p>
            <w:pPr>
              <w:pStyle w:val="960"/>
              <w:jc w:val="center"/>
              <w:spacing w:line="400" w:lineRule="exact"/>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分）</w:t>
            </w:r>
            <w:r>
              <w:rPr>
                <w:rFonts w:ascii="宋体" w:hAnsi="宋体" w:cs="宋体"/>
                <w:b/>
                <w:bCs/>
                <w:color w:val="000000"/>
                <w:szCs w:val="21"/>
              </w:rPr>
            </w:r>
            <w:r/>
          </w:p>
        </w:tc>
        <w:tc>
          <w:tcPr>
            <w:tcW w:w="6982" w:type="dxa"/>
            <w:vAlign w:val="center"/>
            <w:textDirection w:val="lrTb"/>
            <w:noWrap w:val="false"/>
          </w:tcPr>
          <w:p>
            <w:pPr>
              <w:pStyle w:val="960"/>
              <w:spacing w:line="400" w:lineRule="exact"/>
              <w:rPr>
                <w:rFonts w:ascii="宋体" w:hAnsi="宋体" w:cs="宋体"/>
                <w:color w:val="000000"/>
                <w:szCs w:val="21"/>
              </w:rPr>
            </w:pPr>
            <w:r>
              <w:rPr>
                <w:rFonts w:hint="eastAsia" w:ascii="宋体" w:hAnsi="宋体" w:cs="宋体"/>
                <w:color w:val="000000"/>
                <w:szCs w:val="21"/>
              </w:rPr>
              <w:t xml:space="preserve">投标人具有2022年1月1日以来类似项目业绩，以合同签订时间为准，提供项目合同，每提供一个得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分，满分</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分；没有提供的不得分。</w:t>
            </w:r>
            <w:r>
              <w:rPr>
                <w:rFonts w:hint="eastAsia" w:ascii="宋体" w:hAnsi="宋体" w:cs="宋体"/>
                <w:b/>
                <w:bCs/>
                <w:color w:val="000000"/>
                <w:szCs w:val="21"/>
              </w:rPr>
              <w:t xml:space="preserve">（投标人须提供合同和付款发票或验收证明，原件扫描上传。若刚签订的合同未到付款时间,则需提供业绩证明单位盖章的情况说明。）</w:t>
            </w:r>
            <w:r>
              <w:rPr>
                <w:rFonts w:ascii="宋体" w:hAnsi="宋体" w:cs="宋体"/>
                <w:color w:val="000000"/>
                <w:szCs w:val="21"/>
              </w:rPr>
            </w:r>
            <w:r/>
          </w:p>
        </w:tc>
      </w:tr>
      <w:tr>
        <w:trPr>
          <w:trHeight w:val="3465"/>
        </w:trPr>
        <w:tc>
          <w:tcPr>
            <w:tcW w:w="1815" w:type="dxa"/>
            <w:vAlign w:val="center"/>
            <w:textDirection w:val="lrTb"/>
            <w:noWrap w:val="false"/>
          </w:tcPr>
          <w:p>
            <w:pPr>
              <w:pStyle w:val="960"/>
              <w:jc w:val="center"/>
              <w:spacing w:line="400" w:lineRule="exact"/>
              <w:rPr>
                <w:rFonts w:ascii="宋体" w:hAnsi="宋体" w:cs="宋体"/>
                <w:b/>
                <w:bCs/>
                <w:color w:val="000000"/>
                <w:szCs w:val="21"/>
              </w:rPr>
            </w:pPr>
            <w:r>
              <w:rPr>
                <w:rFonts w:hint="eastAsia" w:ascii="宋体" w:hAnsi="宋体" w:cs="宋体"/>
                <w:b/>
                <w:bCs/>
                <w:color w:val="000000"/>
                <w:szCs w:val="21"/>
              </w:rPr>
              <w:t xml:space="preserve">人员配备</w:t>
            </w:r>
            <w:r>
              <w:rPr>
                <w:rFonts w:ascii="宋体" w:hAnsi="宋体" w:cs="宋体"/>
                <w:b/>
                <w:bCs/>
                <w:color w:val="000000"/>
                <w:szCs w:val="21"/>
              </w:rPr>
            </w:r>
            <w:r/>
          </w:p>
          <w:p>
            <w:pPr>
              <w:pStyle w:val="960"/>
              <w:jc w:val="center"/>
              <w:spacing w:line="400" w:lineRule="exact"/>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分）</w:t>
            </w:r>
            <w:r>
              <w:rPr>
                <w:rFonts w:ascii="宋体" w:hAnsi="宋体" w:cs="宋体"/>
                <w:b/>
                <w:bCs/>
                <w:color w:val="000000"/>
                <w:szCs w:val="21"/>
              </w:rPr>
            </w:r>
            <w:r/>
          </w:p>
        </w:tc>
        <w:tc>
          <w:tcPr>
            <w:tcW w:w="6982" w:type="dxa"/>
            <w:vAlign w:val="center"/>
            <w:textDirection w:val="lrTb"/>
            <w:noWrap w:val="false"/>
          </w:tcPr>
          <w:p>
            <w:pPr>
              <w:pStyle w:val="960"/>
              <w:spacing w:line="400" w:lineRule="exact"/>
              <w:rPr>
                <w:rFonts w:ascii="宋体" w:hAnsi="宋体" w:cs="宋体"/>
                <w:b/>
                <w:bCs/>
                <w:color w:val="000000"/>
                <w:szCs w:val="21"/>
              </w:rPr>
            </w:pPr>
            <w:r>
              <w:rPr>
                <w:rFonts w:hint="eastAsia" w:ascii="宋体" w:hAnsi="宋体" w:cs="宋体"/>
                <w:color w:val="000000"/>
                <w:szCs w:val="21"/>
              </w:rPr>
              <w:t xml:space="preserve">1.项目负责人要求：具有人力资源和社会保障部、工业和信息化部颁发的数据库系统工程师证书得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分，未提供不得分。</w:t>
            </w:r>
            <w:r>
              <w:rPr>
                <w:rFonts w:hint="eastAsia" w:ascii="宋体" w:hAnsi="宋体" w:cs="宋体"/>
                <w:b/>
                <w:bCs/>
                <w:color w:val="000000"/>
                <w:szCs w:val="21"/>
              </w:rPr>
              <w:t xml:space="preserve">(须提供提供证书原件及投标人近3个月内任意一个月为其缴纳的社保证明材料加盖投标人公章，扫描上传)。</w:t>
            </w:r>
            <w:r>
              <w:rPr>
                <w:rFonts w:ascii="宋体" w:hAnsi="宋体" w:cs="宋体"/>
                <w:b/>
                <w:bCs/>
                <w:color w:val="000000"/>
                <w:szCs w:val="21"/>
              </w:rPr>
            </w:r>
            <w:r/>
          </w:p>
          <w:p>
            <w:pPr>
              <w:pStyle w:val="960"/>
              <w:spacing w:line="400" w:lineRule="exact"/>
              <w:rPr>
                <w:rFonts w:ascii="宋体" w:hAnsi="宋体" w:cs="宋体"/>
                <w:color w:val="000000"/>
                <w:szCs w:val="21"/>
              </w:rPr>
            </w:pPr>
            <w:r>
              <w:rPr>
                <w:rFonts w:hint="eastAsia" w:ascii="宋体" w:hAnsi="宋体" w:cs="宋体"/>
                <w:color w:val="000000"/>
                <w:szCs w:val="21"/>
              </w:rPr>
              <w:t xml:space="preserve">2.项目组成员：具有人力资源和社会保障部、工业和信息化部颁发的系统集成项目管理工程师得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分，未提供不得分。</w:t>
            </w:r>
            <w:r>
              <w:rPr>
                <w:rFonts w:hint="eastAsia" w:ascii="宋体" w:hAnsi="宋体" w:cs="宋体"/>
                <w:b/>
                <w:bCs/>
                <w:color w:val="000000"/>
                <w:szCs w:val="21"/>
              </w:rPr>
              <w:t xml:space="preserve">(须提供提供证书原件及投标人近3个月内任意一个月为其缴纳的社保证明材料加盖投标人公章，扫描上传)。</w:t>
            </w:r>
            <w:r>
              <w:rPr>
                <w:rFonts w:ascii="宋体" w:hAnsi="宋体" w:cs="宋体"/>
                <w:color w:val="000000"/>
                <w:szCs w:val="21"/>
              </w:rPr>
            </w:r>
            <w:r/>
          </w:p>
        </w:tc>
      </w:tr>
      <w:tr>
        <w:trPr>
          <w:trHeight w:val="3845"/>
        </w:trPr>
        <w:tc>
          <w:tcPr>
            <w:tcW w:w="1815" w:type="dxa"/>
            <w:vAlign w:val="center"/>
            <w:textDirection w:val="lrTb"/>
            <w:noWrap w:val="false"/>
          </w:tcPr>
          <w:p>
            <w:pPr>
              <w:pStyle w:val="960"/>
              <w:jc w:val="center"/>
              <w:spacing w:line="400" w:lineRule="exact"/>
              <w:rPr>
                <w:rFonts w:ascii="宋体" w:hAnsi="宋体" w:cs="宋体"/>
                <w:b/>
                <w:bCs/>
                <w:color w:val="000000"/>
                <w:szCs w:val="21"/>
              </w:rPr>
            </w:pPr>
            <w:r>
              <w:rPr>
                <w:rFonts w:hint="eastAsia" w:ascii="宋体" w:hAnsi="宋体" w:cs="宋体"/>
                <w:b/>
                <w:bCs/>
                <w:color w:val="000000"/>
                <w:szCs w:val="21"/>
              </w:rPr>
              <w:t xml:space="preserve">售后方案</w:t>
            </w:r>
            <w:r>
              <w:rPr>
                <w:rFonts w:ascii="宋体" w:hAnsi="宋体" w:cs="宋体"/>
                <w:b/>
                <w:bCs/>
                <w:color w:val="000000"/>
                <w:szCs w:val="21"/>
              </w:rPr>
            </w:r>
            <w:r/>
          </w:p>
          <w:p>
            <w:pPr>
              <w:pStyle w:val="960"/>
              <w:jc w:val="center"/>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分）</w:t>
            </w:r>
            <w:r>
              <w:rPr>
                <w:rFonts w:ascii="宋体" w:hAnsi="宋体" w:cs="宋体"/>
                <w:b/>
                <w:bCs/>
                <w:color w:val="000000"/>
                <w:szCs w:val="21"/>
              </w:rPr>
            </w:r>
            <w:r/>
          </w:p>
        </w:tc>
        <w:tc>
          <w:tcPr>
            <w:tcW w:w="6982" w:type="dxa"/>
            <w:vAlign w:val="center"/>
            <w:textDirection w:val="lrTb"/>
            <w:noWrap w:val="false"/>
          </w:tcPr>
          <w:p>
            <w:pPr>
              <w:pStyle w:val="960"/>
              <w:spacing w:line="400" w:lineRule="exact"/>
              <w:rPr>
                <w:rFonts w:ascii="宋体" w:hAnsi="宋体" w:cs="宋体"/>
                <w:color w:val="000000"/>
                <w:szCs w:val="21"/>
              </w:rPr>
            </w:pPr>
            <w:r>
              <w:rPr>
                <w:rFonts w:hint="eastAsia" w:ascii="宋体" w:hAnsi="宋体" w:cs="宋体"/>
                <w:color w:val="000000"/>
                <w:szCs w:val="21"/>
              </w:rPr>
              <w:t xml:space="preserve">投标人需要充分了解采购人现状并提出完整合理的服务方案，完全符合相关标准，能满足采购人实际业务需求，投标人针对本项目提供的服务方案应包含以下内容：</w:t>
            </w:r>
            <w:r>
              <w:rPr>
                <w:rFonts w:ascii="宋体" w:hAnsi="宋体" w:cs="宋体"/>
                <w:color w:val="000000"/>
                <w:szCs w:val="21"/>
              </w:rPr>
            </w:r>
            <w:r/>
          </w:p>
          <w:p>
            <w:pPr>
              <w:pStyle w:val="967"/>
              <w:spacing w:line="400" w:lineRule="exact"/>
              <w:rPr>
                <w:rFonts w:ascii="宋体" w:hAnsi="宋体" w:cs="宋体"/>
                <w:color w:val="000000"/>
                <w:sz w:val="21"/>
                <w:szCs w:val="21"/>
              </w:rPr>
            </w:pPr>
            <w:r>
              <w:rPr>
                <w:rFonts w:hint="eastAsia" w:ascii="宋体" w:hAnsi="宋体" w:cs="宋体"/>
                <w:color w:val="000000"/>
                <w:sz w:val="21"/>
                <w:szCs w:val="21"/>
                <w:lang w:bidi="ar"/>
              </w:rPr>
              <w:t xml:space="preserve">1.质保及售后人员方案。</w:t>
            </w:r>
            <w:r>
              <w:rPr>
                <w:rFonts w:hint="eastAsia" w:ascii="宋体" w:hAnsi="宋体" w:cs="宋体"/>
                <w:color w:val="000000"/>
                <w:sz w:val="21"/>
                <w:szCs w:val="21"/>
              </w:rPr>
              <w:t xml:space="preserve">根据方案进行评审:优于招标文件要求的得5分；符合招标文件要求的得3分；不符合要求或未提供的不得分</w:t>
            </w:r>
            <w:r>
              <w:rPr>
                <w:rFonts w:hint="eastAsia" w:ascii="宋体" w:hAnsi="宋体" w:cs="宋体"/>
                <w:color w:val="000000"/>
                <w:sz w:val="21"/>
                <w:szCs w:val="21"/>
                <w:lang w:bidi="ar"/>
              </w:rPr>
              <w:t xml:space="preserve">。</w:t>
            </w:r>
            <w:r>
              <w:rPr>
                <w:rFonts w:ascii="宋体" w:hAnsi="宋体" w:cs="宋体"/>
                <w:color w:val="000000"/>
                <w:sz w:val="21"/>
                <w:szCs w:val="21"/>
              </w:rPr>
            </w:r>
            <w:r/>
          </w:p>
          <w:p>
            <w:pPr>
              <w:pStyle w:val="967"/>
              <w:spacing w:line="400" w:lineRule="exact"/>
              <w:rPr>
                <w:rFonts w:ascii="宋体" w:hAnsi="宋体" w:cs="宋体"/>
                <w:color w:val="000000"/>
                <w:sz w:val="21"/>
                <w:szCs w:val="21"/>
                <w:lang w:bidi="ar"/>
              </w:rPr>
            </w:pPr>
            <w:r>
              <w:rPr>
                <w:rFonts w:hint="eastAsia" w:ascii="宋体" w:hAnsi="宋体" w:cs="宋体"/>
                <w:color w:val="000000"/>
                <w:sz w:val="21"/>
                <w:szCs w:val="21"/>
                <w:lang w:bidi="ar"/>
              </w:rPr>
              <w:t xml:space="preserve">2.系统培训方案。</w:t>
            </w:r>
            <w:r>
              <w:rPr>
                <w:rFonts w:hint="eastAsia" w:ascii="宋体" w:hAnsi="宋体" w:cs="宋体"/>
                <w:color w:val="000000"/>
                <w:sz w:val="21"/>
                <w:szCs w:val="21"/>
              </w:rPr>
              <w:t xml:space="preserve">根据方案进行评审:优于招标文件要求的得5分；符合招标文件要求的得3分；不符合要求或未提供的不得分</w:t>
            </w:r>
            <w:r>
              <w:rPr>
                <w:rFonts w:hint="eastAsia" w:ascii="宋体" w:hAnsi="宋体" w:cs="宋体"/>
                <w:color w:val="000000"/>
                <w:sz w:val="21"/>
                <w:szCs w:val="21"/>
                <w:lang w:bidi="ar"/>
              </w:rPr>
              <w:t xml:space="preserve">。</w:t>
            </w:r>
            <w:r>
              <w:rPr>
                <w:rFonts w:ascii="宋体" w:hAnsi="宋体" w:cs="宋体"/>
                <w:color w:val="000000"/>
                <w:sz w:val="21"/>
                <w:szCs w:val="21"/>
                <w:lang w:bidi="ar"/>
              </w:rPr>
            </w:r>
            <w:r/>
          </w:p>
          <w:p>
            <w:pPr>
              <w:pStyle w:val="967"/>
              <w:spacing w:line="400" w:lineRule="exact"/>
              <w:rPr>
                <w:rFonts w:ascii="宋体" w:hAnsi="宋体" w:cs="宋体"/>
                <w:color w:val="000000"/>
                <w:sz w:val="21"/>
                <w:szCs w:val="21"/>
                <w:lang w:bidi="ar"/>
              </w:rPr>
            </w:pPr>
            <w:r>
              <w:rPr>
                <w:rFonts w:hint="eastAsia" w:ascii="宋体" w:hAnsi="宋体" w:cs="宋体"/>
                <w:color w:val="000000"/>
                <w:sz w:val="21"/>
                <w:szCs w:val="21"/>
                <w:lang w:bidi="ar"/>
              </w:rPr>
              <w:t xml:space="preserve">3.系统运维方案。根据方案进行评审:优于招标文件要求的得</w:t>
            </w:r>
            <w:r>
              <w:rPr>
                <w:rFonts w:hint="eastAsia" w:ascii="宋体" w:hAnsi="宋体" w:cs="宋体"/>
                <w:color w:val="000000"/>
                <w:sz w:val="21"/>
                <w:szCs w:val="21"/>
                <w:lang w:val="en-US" w:eastAsia="zh-CN" w:bidi="ar"/>
              </w:rPr>
              <w:t xml:space="preserve">5</w:t>
            </w:r>
            <w:r>
              <w:rPr>
                <w:rFonts w:hint="eastAsia" w:ascii="宋体" w:hAnsi="宋体" w:cs="宋体"/>
                <w:color w:val="000000"/>
                <w:sz w:val="21"/>
                <w:szCs w:val="21"/>
                <w:lang w:bidi="ar"/>
              </w:rPr>
              <w:t xml:space="preserve">分；符合招标文件要求的得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分；不符合要求或未提供的不得分。</w:t>
            </w:r>
            <w:r>
              <w:rPr>
                <w:rFonts w:ascii="宋体" w:hAnsi="宋体" w:cs="宋体"/>
                <w:color w:val="000000"/>
                <w:sz w:val="21"/>
                <w:szCs w:val="21"/>
                <w:lang w:bidi="ar"/>
              </w:rPr>
            </w:r>
            <w:r/>
          </w:p>
        </w:tc>
      </w:tr>
    </w:tbl>
    <w:p>
      <w:pPr>
        <w:pStyle w:val="741"/>
        <w:spacing w:line="360" w:lineRule="auto"/>
        <w:rPr>
          <w:rFonts w:hint="eastAsia" w:ascii="宋体" w:hAnsi="宋体" w:cs="宋体"/>
          <w:szCs w:val="21"/>
        </w:rPr>
      </w:pPr>
      <w:r>
        <w:rPr>
          <w:rFonts w:hint="eastAsia" w:ascii="宋体" w:hAnsi="宋体" w:cs="宋体"/>
          <w:szCs w:val="21"/>
        </w:rPr>
      </w:r>
      <w:r/>
    </w:p>
    <w:p>
      <w:pPr>
        <w:pStyle w:val="741"/>
        <w:ind w:firstLine="420"/>
        <w:spacing w:line="360" w:lineRule="auto"/>
        <w:rPr>
          <w:rFonts w:hint="eastAsia" w:ascii="宋体" w:hAnsi="宋体" w:cs="宋体"/>
          <w:szCs w:val="21"/>
        </w:rPr>
      </w:pPr>
      <w:r>
        <w:rPr>
          <w:rFonts w:hint="eastAsia" w:ascii="宋体" w:hAnsi="宋体" w:cs="宋体"/>
          <w:szCs w:val="21"/>
          <w:lang w:val="en-US" w:eastAsia="zh-CN"/>
        </w:rPr>
        <w:t xml:space="preserve">注：</w:t>
      </w:r>
      <w:r>
        <w:rPr>
          <w:rFonts w:hint="eastAsia" w:ascii="宋体" w:hAnsi="宋体" w:cs="宋体"/>
          <w:szCs w:val="21"/>
        </w:rPr>
        <w:t xml:space="preserve">本次采购执行江苏省财政厅《关于推动解决政府采购异常低价问题相关工作的通知》（苏财购〔2025〕62号）的文件要求。</w:t>
      </w:r>
      <w:r>
        <w:rPr>
          <w:rFonts w:hint="eastAsia" w:ascii="宋体" w:hAnsi="宋体" w:cs="宋体"/>
          <w:szCs w:val="21"/>
        </w:rPr>
      </w:r>
      <w:r/>
    </w:p>
    <w:p>
      <w:pPr>
        <w:pStyle w:val="741"/>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（一）评审过程中出现下列情形之一的，评审委员会应当启动异常低价投标（响应）审查程序：</w:t>
      </w:r>
      <w:r>
        <w:rPr>
          <w:rFonts w:hint="eastAsia" w:ascii="宋体" w:hAnsi="宋体" w:cs="宋体"/>
          <w:szCs w:val="21"/>
          <w:lang w:val="en-US" w:eastAsia="zh-CN"/>
        </w:rPr>
      </w:r>
      <w:r/>
    </w:p>
    <w:p>
      <w:pPr>
        <w:pStyle w:val="741"/>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1.投标（响应）报价低于采购项目预算50%的，即投标（响应）报价〈采购项目预算 ×50%；</w:t>
      </w:r>
      <w:r>
        <w:rPr>
          <w:rFonts w:hint="eastAsia" w:ascii="宋体" w:hAnsi="宋体" w:cs="宋体"/>
          <w:szCs w:val="21"/>
          <w:lang w:val="en-US" w:eastAsia="zh-CN"/>
        </w:rPr>
      </w:r>
      <w:r/>
    </w:p>
    <w:p>
      <w:pPr>
        <w:pStyle w:val="741"/>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2.投标（响应）报价低于采购项目最高限价45% 的，即投标（响应）报价〈采购项目最高限价 ×45%；</w:t>
      </w:r>
      <w:r>
        <w:rPr>
          <w:rFonts w:hint="eastAsia" w:ascii="宋体" w:hAnsi="宋体" w:cs="宋体"/>
          <w:szCs w:val="21"/>
          <w:lang w:val="en-US" w:eastAsia="zh-CN"/>
        </w:rPr>
      </w:r>
      <w:r/>
    </w:p>
    <w:p>
      <w:pPr>
        <w:pStyle w:val="741"/>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3.评审委员会认定的供应商报价过低、有可能影响产品质量或者不能诚信履约的其他情形。</w:t>
      </w:r>
      <w:r>
        <w:rPr>
          <w:rFonts w:hint="eastAsia" w:ascii="宋体" w:hAnsi="宋体" w:cs="宋体"/>
          <w:szCs w:val="21"/>
          <w:lang w:val="en-US" w:eastAsia="zh-CN"/>
        </w:rPr>
      </w:r>
      <w:r/>
    </w:p>
    <w:p>
      <w:pPr>
        <w:pStyle w:val="741"/>
        <w:spacing w:line="360" w:lineRule="auto"/>
        <w:rPr>
          <w:rFonts w:hint="eastAsia" w:ascii="宋体" w:hAnsi="宋体" w:cs="宋体"/>
          <w:szCs w:val="21"/>
        </w:rPr>
      </w:pPr>
      <w:r>
        <w:rPr>
          <w:rFonts w:hint="eastAsia" w:ascii="宋体" w:hAnsi="宋体" w:cs="宋体"/>
          <w:szCs w:val="21"/>
          <w:lang w:val="en-US" w:eastAsia="zh-CN"/>
        </w:rPr>
        <w:t xml:space="preserve">（二）</w:t>
      </w:r>
      <w:r>
        <w:rPr>
          <w:rFonts w:hint="eastAsia" w:ascii="宋体" w:hAnsi="宋体" w:cs="宋体"/>
          <w:szCs w:val="21"/>
        </w:rPr>
        <w:t xml:space="preserve">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Cs w:val="21"/>
        </w:rPr>
      </w:r>
      <w:r/>
    </w:p>
    <w:p>
      <w:pPr>
        <w:pStyle w:val="741"/>
        <w:spacing w:line="360" w:lineRule="auto"/>
        <w:rPr>
          <w:rFonts w:hint="eastAsia" w:ascii="宋体" w:hAnsi="宋体" w:cs="宋体"/>
          <w:szCs w:val="21"/>
        </w:rPr>
      </w:pPr>
      <w:r>
        <w:rPr>
          <w:rFonts w:hint="eastAsia" w:ascii="宋体" w:hAnsi="宋体" w:cs="宋体"/>
          <w:szCs w:val="21"/>
        </w:rPr>
      </w:r>
      <w:r/>
    </w:p>
    <w:p>
      <w:pPr>
        <w:pStyle w:val="741"/>
        <w:spacing w:line="360" w:lineRule="auto"/>
      </w:pPr>
      <w:r>
        <w:br w:type="page" w:clear="all"/>
      </w:r>
      <w:r/>
    </w:p>
    <w:p>
      <w:pPr>
        <w:pStyle w:val="741"/>
        <w:spacing w:line="360" w:lineRule="auto"/>
        <w:rPr>
          <w:rFonts w:ascii="黑体" w:eastAsia="黑体"/>
          <w:bCs/>
          <w:sz w:val="44"/>
        </w:rPr>
      </w:pPr>
      <w:r>
        <w:rPr>
          <w:rFonts w:ascii="黑体" w:eastAsia="黑体"/>
          <w:bCs/>
          <w:sz w:val="44"/>
        </w:rPr>
      </w:r>
      <w:r/>
    </w:p>
    <w:p>
      <w:pPr>
        <w:pStyle w:val="742"/>
        <w:jc w:val="center"/>
        <w:spacing w:line="360" w:lineRule="auto"/>
        <w:rPr>
          <w:rFonts w:ascii="宋体" w:hAnsi="宋体"/>
        </w:rPr>
      </w:pPr>
      <w:r>
        <w:rPr>
          <w:rFonts w:hint="eastAsia" w:ascii="宋体" w:hAnsi="宋体"/>
        </w:rPr>
        <w:t xml:space="preserve"> </w:t>
      </w:r>
      <w:bookmarkStart w:id="67" w:name="_Toc191970194"/>
      <w:r>
        <w:rPr>
          <w:rFonts w:hint="eastAsia" w:ascii="宋体" w:hAnsi="宋体"/>
        </w:rPr>
        <w:t xml:space="preserve">第六章 投标文件格式</w:t>
      </w:r>
      <w:bookmarkEnd w:id="67"/>
      <w:r>
        <w:rPr>
          <w:rFonts w:hint="eastAsia" w:ascii="宋体" w:hAnsi="宋体"/>
        </w:rPr>
        <w:t xml:space="preserve"> </w:t>
      </w:r>
      <w:r>
        <w:rPr>
          <w:rFonts w:ascii="宋体" w:hAnsi="宋体"/>
        </w:rPr>
      </w:r>
      <w:r/>
    </w:p>
    <w:p>
      <w:pPr>
        <w:pStyle w:val="741"/>
        <w:spacing w:line="360" w:lineRule="auto"/>
        <w:rPr>
          <w:rFonts w:ascii="黑体" w:eastAsia="黑体"/>
          <w:bCs/>
          <w:sz w:val="44"/>
        </w:rPr>
      </w:pPr>
      <w:r>
        <w:rPr>
          <w:rFonts w:ascii="黑体" w:eastAsia="黑体"/>
          <w:bCs/>
          <w:sz w:val="44"/>
        </w:rPr>
      </w:r>
      <w:r/>
    </w:p>
    <w:p>
      <w:pPr>
        <w:pStyle w:val="741"/>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741"/>
        <w:spacing w:line="360" w:lineRule="auto"/>
        <w:rPr>
          <w:rFonts w:ascii="宋体" w:hAnsi="宋体"/>
          <w:b/>
          <w:sz w:val="36"/>
        </w:rPr>
      </w:pPr>
      <w:r>
        <w:rPr>
          <w:rFonts w:ascii="宋体" w:hAnsi="宋体"/>
          <w:b/>
          <w:sz w:val="36"/>
        </w:rPr>
      </w:r>
      <w:r/>
    </w:p>
    <w:p>
      <w:pPr>
        <w:pStyle w:val="778"/>
        <w:rPr>
          <w:rFonts w:ascii="宋体" w:hAnsi="宋体"/>
          <w:b/>
          <w:sz w:val="36"/>
        </w:rPr>
      </w:pPr>
      <w:r>
        <w:rPr>
          <w:rFonts w:ascii="宋体" w:hAnsi="宋体"/>
          <w:b/>
          <w:sz w:val="36"/>
        </w:rPr>
      </w:r>
      <w:r/>
    </w:p>
    <w:p>
      <w:pPr>
        <w:pStyle w:val="741"/>
        <w:rPr>
          <w:rFonts w:ascii="宋体" w:hAnsi="宋体"/>
          <w:b/>
          <w:sz w:val="36"/>
        </w:rPr>
      </w:pPr>
      <w:r>
        <w:rPr>
          <w:rFonts w:ascii="宋体" w:hAnsi="宋体"/>
          <w:b/>
          <w:sz w:val="36"/>
        </w:rPr>
      </w:r>
      <w:r/>
    </w:p>
    <w:p>
      <w:pPr>
        <w:pStyle w:val="778"/>
        <w:rPr>
          <w:rFonts w:ascii="宋体" w:hAnsi="宋体"/>
          <w:b/>
          <w:sz w:val="36"/>
        </w:rPr>
      </w:pPr>
      <w:r>
        <w:rPr>
          <w:rFonts w:ascii="宋体" w:hAnsi="宋体"/>
          <w:b/>
          <w:sz w:val="36"/>
        </w:rPr>
      </w:r>
      <w:r/>
    </w:p>
    <w:p>
      <w:pPr>
        <w:pStyle w:val="741"/>
      </w:pPr>
      <w:r/>
      <w:r/>
    </w:p>
    <w:p>
      <w:pPr>
        <w:pStyle w:val="741"/>
        <w:jc w:val="center"/>
        <w:spacing w:line="360" w:lineRule="auto"/>
        <w:rPr>
          <w:rFonts w:ascii="宋体" w:hAnsi="宋体"/>
          <w:b/>
          <w:sz w:val="36"/>
        </w:rPr>
      </w:pPr>
      <w:r>
        <w:rPr>
          <w:rFonts w:ascii="宋体" w:hAnsi="宋体"/>
          <w:b/>
          <w:sz w:val="36"/>
        </w:rPr>
      </w:r>
      <w:r/>
    </w:p>
    <w:p>
      <w:pPr>
        <w:pStyle w:val="741"/>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1"/>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741"/>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741"/>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41"/>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741"/>
        <w:jc w:val="center"/>
        <w:spacing w:line="360" w:lineRule="auto"/>
        <w:rPr>
          <w:rFonts w:ascii="宋体" w:hAnsi="宋体"/>
          <w:b/>
          <w:bCs/>
          <w:sz w:val="32"/>
          <w:szCs w:val="32"/>
        </w:rPr>
      </w:pPr>
      <w:r>
        <w:rPr>
          <w:rFonts w:ascii="宋体" w:hAnsi="宋体"/>
          <w:b/>
          <w:bCs/>
          <w:sz w:val="32"/>
          <w:szCs w:val="32"/>
        </w:rPr>
      </w:r>
      <w:r/>
    </w:p>
    <w:p>
      <w:pPr>
        <w:pStyle w:val="741"/>
        <w:jc w:val="center"/>
        <w:spacing w:line="360" w:lineRule="auto"/>
        <w:rPr>
          <w:rFonts w:ascii="宋体" w:hAnsi="宋体"/>
          <w:b/>
          <w:bCs/>
          <w:sz w:val="32"/>
          <w:szCs w:val="32"/>
        </w:rPr>
      </w:pPr>
      <w:r>
        <w:rPr>
          <w:rFonts w:ascii="宋体" w:hAnsi="宋体"/>
          <w:b/>
          <w:bCs/>
          <w:sz w:val="32"/>
          <w:szCs w:val="32"/>
        </w:rPr>
      </w:r>
      <w:r/>
    </w:p>
    <w:p>
      <w:pPr>
        <w:pStyle w:val="741"/>
        <w:spacing w:line="360" w:lineRule="auto"/>
        <w:rPr>
          <w:rFonts w:ascii="宋体" w:hAnsi="宋体"/>
          <w:b/>
          <w:bCs/>
          <w:sz w:val="32"/>
          <w:szCs w:val="32"/>
        </w:rPr>
      </w:pPr>
      <w:r>
        <w:rPr>
          <w:rFonts w:ascii="宋体" w:hAnsi="宋体"/>
          <w:b/>
          <w:bCs/>
          <w:sz w:val="32"/>
          <w:szCs w:val="32"/>
        </w:rPr>
      </w:r>
      <w:r/>
    </w:p>
    <w:p>
      <w:pPr>
        <w:pStyle w:val="778"/>
        <w:rPr>
          <w:rFonts w:ascii="宋体" w:hAnsi="宋体"/>
          <w:b/>
          <w:bCs/>
          <w:sz w:val="32"/>
          <w:szCs w:val="32"/>
        </w:rPr>
      </w:pPr>
      <w:r>
        <w:rPr>
          <w:rFonts w:ascii="宋体" w:hAnsi="宋体"/>
          <w:b/>
          <w:bCs/>
          <w:sz w:val="32"/>
          <w:szCs w:val="32"/>
        </w:rPr>
      </w:r>
      <w:r/>
    </w:p>
    <w:p>
      <w:pPr>
        <w:pStyle w:val="741"/>
        <w:rPr>
          <w:rFonts w:ascii="宋体" w:hAnsi="宋体"/>
          <w:b/>
          <w:bCs/>
          <w:sz w:val="32"/>
          <w:szCs w:val="32"/>
        </w:rPr>
      </w:pPr>
      <w:r>
        <w:rPr>
          <w:rFonts w:ascii="宋体" w:hAnsi="宋体"/>
          <w:b/>
          <w:bCs/>
          <w:sz w:val="32"/>
          <w:szCs w:val="32"/>
        </w:rPr>
      </w:r>
      <w:r/>
    </w:p>
    <w:p>
      <w:pPr>
        <w:pStyle w:val="778"/>
        <w:rPr>
          <w:rFonts w:ascii="宋体" w:hAnsi="宋体"/>
          <w:b/>
          <w:bCs/>
          <w:sz w:val="32"/>
          <w:szCs w:val="32"/>
        </w:rPr>
      </w:pPr>
      <w:r>
        <w:rPr>
          <w:rFonts w:ascii="宋体" w:hAnsi="宋体"/>
          <w:b/>
          <w:bCs/>
          <w:sz w:val="32"/>
          <w:szCs w:val="32"/>
        </w:rPr>
      </w:r>
      <w:r/>
    </w:p>
    <w:p>
      <w:pPr>
        <w:pStyle w:val="741"/>
        <w:rPr>
          <w:rFonts w:ascii="宋体" w:hAnsi="宋体"/>
          <w:b/>
          <w:bCs/>
          <w:sz w:val="32"/>
          <w:szCs w:val="32"/>
        </w:rPr>
      </w:pPr>
      <w:r>
        <w:rPr>
          <w:rFonts w:ascii="宋体" w:hAnsi="宋体"/>
          <w:b/>
          <w:bCs/>
          <w:sz w:val="32"/>
          <w:szCs w:val="32"/>
        </w:rPr>
      </w:r>
      <w:r/>
    </w:p>
    <w:p>
      <w:pPr>
        <w:pStyle w:val="778"/>
      </w:pPr>
      <w:r/>
      <w:r/>
    </w:p>
    <w:p>
      <w:pPr>
        <w:pStyle w:val="741"/>
        <w:jc w:val="center"/>
        <w:spacing w:line="360" w:lineRule="auto"/>
        <w:rPr>
          <w:rFonts w:ascii="宋体" w:hAnsi="宋体"/>
          <w:b/>
          <w:bCs/>
          <w:sz w:val="32"/>
          <w:szCs w:val="32"/>
        </w:rPr>
      </w:pPr>
      <w:r>
        <w:rPr>
          <w:rFonts w:hint="eastAsia" w:ascii="宋体" w:hAnsi="宋体"/>
          <w:b/>
          <w:bCs/>
          <w:sz w:val="32"/>
          <w:szCs w:val="32"/>
        </w:rPr>
        <w:t xml:space="preserve">投标主要文件目录</w:t>
      </w:r>
      <w:r>
        <w:rPr>
          <w:rFonts w:ascii="宋体" w:hAnsi="宋体"/>
          <w:b/>
          <w:bCs/>
          <w:sz w:val="32"/>
          <w:szCs w:val="32"/>
        </w:rPr>
      </w:r>
      <w:r/>
    </w:p>
    <w:p>
      <w:pPr>
        <w:pStyle w:val="741"/>
        <w:jc w:val="center"/>
        <w:spacing w:line="360" w:lineRule="auto"/>
        <w:rPr>
          <w:rFonts w:ascii="宋体" w:hAnsi="宋体"/>
          <w:b/>
          <w:bCs/>
          <w:sz w:val="32"/>
          <w:szCs w:val="32"/>
        </w:rPr>
      </w:pPr>
      <w:r>
        <w:rPr>
          <w:rFonts w:ascii="宋体" w:hAnsi="宋体"/>
          <w:b/>
          <w:bCs/>
          <w:sz w:val="32"/>
          <w:szCs w:val="32"/>
        </w:rPr>
      </w:r>
      <w:r/>
    </w:p>
    <w:p>
      <w:pPr>
        <w:pStyle w:val="741"/>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741"/>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741"/>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741"/>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741"/>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741"/>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741"/>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741"/>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741"/>
        <w:contextualSpacing/>
        <w:jc w:val="center"/>
        <w:spacing w:line="360" w:lineRule="auto"/>
        <w:rPr>
          <w:rFonts w:ascii="宋体" w:hAnsi="宋体"/>
          <w:b/>
          <w:sz w:val="72"/>
        </w:rPr>
      </w:pPr>
      <w:r>
        <w:rPr>
          <w:rFonts w:ascii="宋体" w:hAnsi="宋体"/>
          <w:b/>
          <w:sz w:val="72"/>
        </w:rPr>
      </w:r>
      <w:r/>
    </w:p>
    <w:p>
      <w:pPr>
        <w:pStyle w:val="741"/>
        <w:contextualSpacing/>
        <w:jc w:val="center"/>
        <w:spacing w:line="360" w:lineRule="auto"/>
        <w:rPr>
          <w:rFonts w:ascii="宋体" w:hAnsi="宋体"/>
          <w:b/>
          <w:sz w:val="72"/>
        </w:rPr>
      </w:pPr>
      <w:r>
        <w:rPr>
          <w:rFonts w:ascii="宋体" w:hAnsi="宋体"/>
          <w:b/>
          <w:sz w:val="72"/>
        </w:rPr>
      </w:r>
      <w:r/>
    </w:p>
    <w:p>
      <w:pPr>
        <w:pStyle w:val="741"/>
        <w:contextualSpacing/>
        <w:jc w:val="center"/>
        <w:spacing w:line="360" w:lineRule="auto"/>
        <w:rPr>
          <w:rFonts w:ascii="宋体" w:hAnsi="宋体"/>
          <w:b/>
          <w:sz w:val="72"/>
        </w:rPr>
      </w:pPr>
      <w:r>
        <w:rPr>
          <w:rFonts w:ascii="宋体" w:hAnsi="宋体"/>
          <w:b/>
          <w:sz w:val="72"/>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3"/>
        <w:jc w:val="both"/>
        <w:spacing w:line="360" w:lineRule="auto"/>
        <w:rPr>
          <w:rFonts w:ascii="宋体" w:hAnsi="宋体"/>
          <w:sz w:val="32"/>
          <w:szCs w:val="32"/>
        </w:rPr>
      </w:pPr>
      <w:r/>
      <w:bookmarkStart w:id="68" w:name="_Toc191970195"/>
      <w:r>
        <w:rPr>
          <w:rFonts w:ascii="宋体" w:hAnsi="宋体"/>
          <w:sz w:val="32"/>
          <w:szCs w:val="32"/>
        </w:rPr>
      </w:r>
      <w:r/>
    </w:p>
    <w:p>
      <w:pPr>
        <w:pStyle w:val="743"/>
        <w:spacing w:line="360" w:lineRule="auto"/>
        <w:rPr>
          <w:rFonts w:ascii="宋体" w:hAnsi="宋体" w:eastAsia="宋体"/>
          <w:b w:val="0"/>
          <w:sz w:val="32"/>
          <w:szCs w:val="32"/>
        </w:rPr>
      </w:pPr>
      <w:r>
        <w:rPr>
          <w:rFonts w:hint="eastAsia" w:ascii="宋体" w:hAnsi="宋体" w:eastAsia="宋体"/>
          <w:sz w:val="32"/>
        </w:rPr>
        <w:t xml:space="preserve">一、资格审查响应对照表</w:t>
      </w:r>
      <w:bookmarkEnd w:id="68"/>
      <w:r>
        <w:rPr>
          <w:rFonts w:ascii="宋体" w:hAnsi="宋体" w:eastAsia="宋体"/>
          <w:b w:val="0"/>
          <w:sz w:val="32"/>
          <w:szCs w:val="32"/>
        </w:rPr>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741"/>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741"/>
              <w:jc w:val="center"/>
              <w:spacing w:line="360" w:lineRule="auto"/>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58" w:type="dxa"/>
            <w:vAlign w:val="center"/>
            <w:textDirection w:val="lrTb"/>
            <w:noWrap w:val="false"/>
          </w:tcPr>
          <w:p>
            <w:pPr>
              <w:pStyle w:val="741"/>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741"/>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251" w:type="dxa"/>
            <w:vAlign w:val="center"/>
            <w:textDirection w:val="lrTb"/>
            <w:noWrap w:val="false"/>
          </w:tcPr>
          <w:p>
            <w:pPr>
              <w:pStyle w:val="741"/>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741"/>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741"/>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ascii="宋体" w:hAnsi="宋体"/>
                <w:iCs/>
                <w:szCs w:val="21"/>
              </w:rPr>
            </w:r>
            <w:r/>
          </w:p>
        </w:tc>
        <w:tc>
          <w:tcPr>
            <w:tcW w:w="2158" w:type="dxa"/>
            <w:vAlign w:val="center"/>
            <w:textDirection w:val="lrTb"/>
            <w:noWrap w:val="false"/>
          </w:tcPr>
          <w:p>
            <w:pPr>
              <w:pStyle w:val="741"/>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741"/>
              <w:spacing w:line="360" w:lineRule="auto"/>
              <w:rPr>
                <w:rFonts w:ascii="宋体" w:hAnsi="宋体"/>
                <w:iCs/>
                <w:szCs w:val="21"/>
              </w:rPr>
            </w:pPr>
            <w:r>
              <w:rPr>
                <w:rFonts w:hint="eastAsia" w:ascii="宋体" w:hAnsi="宋体"/>
                <w:iCs/>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rPr>
                <w:rFonts w:ascii="宋体" w:hAnsi="宋体"/>
                <w:iCs/>
                <w:szCs w:val="21"/>
              </w:rPr>
            </w:r>
            <w:r/>
          </w:p>
        </w:tc>
        <w:tc>
          <w:tcPr>
            <w:tcW w:w="2158"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741"/>
              <w:spacing w:line="360" w:lineRule="auto"/>
              <w:rPr>
                <w:rFonts w:ascii="宋体" w:hAnsi="宋体"/>
                <w:iCs/>
                <w:szCs w:val="21"/>
              </w:rPr>
            </w:pPr>
            <w:r>
              <w:rPr>
                <w:rFonts w:hint="eastAsia" w:ascii="宋体" w:hAnsi="宋体"/>
                <w:iCs/>
                <w:szCs w:val="21"/>
              </w:rPr>
              <w:t xml:space="preserve">上一年度的财务状况报告（成立不满一年无需提供）</w:t>
            </w:r>
            <w:r>
              <w:rPr>
                <w:rFonts w:ascii="宋体" w:hAnsi="宋体"/>
                <w:iCs/>
                <w:szCs w:val="21"/>
              </w:rPr>
            </w:r>
            <w:r/>
          </w:p>
        </w:tc>
        <w:tc>
          <w:tcPr>
            <w:tcW w:w="2158"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741"/>
              <w:spacing w:line="360" w:lineRule="auto"/>
              <w:rPr>
                <w:rFonts w:ascii="宋体" w:hAnsi="宋体"/>
                <w:iCs/>
                <w:szCs w:val="21"/>
              </w:rPr>
            </w:pPr>
            <w:r>
              <w:rPr>
                <w:rFonts w:hint="eastAsia" w:ascii="宋体" w:hAnsi="宋体"/>
                <w:iCs/>
                <w:szCs w:val="21"/>
              </w:rPr>
              <w:t xml:space="preserve">具备履行合同所必需的设备和专业技术能力的证明材料</w:t>
            </w:r>
            <w:r>
              <w:rPr>
                <w:rFonts w:ascii="宋体" w:hAnsi="宋体"/>
                <w:iCs/>
                <w:szCs w:val="21"/>
              </w:rPr>
            </w:r>
            <w:r/>
          </w:p>
        </w:tc>
        <w:tc>
          <w:tcPr>
            <w:tcW w:w="2158"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741"/>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rPr>
                <w:rFonts w:ascii="宋体" w:hAnsi="宋体"/>
                <w:iCs/>
                <w:szCs w:val="21"/>
              </w:rPr>
            </w:r>
            <w:r/>
          </w:p>
        </w:tc>
        <w:tc>
          <w:tcPr>
            <w:tcW w:w="2158"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447" w:type="dxa"/>
            <w:vAlign w:val="center"/>
            <w:textDirection w:val="lrTb"/>
            <w:noWrap w:val="false"/>
          </w:tcPr>
          <w:p>
            <w:pPr>
              <w:pStyle w:val="741"/>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ascii="宋体" w:hAnsi="宋体" w:cs="宋体"/>
                <w:szCs w:val="21"/>
              </w:rPr>
            </w:r>
            <w:r/>
          </w:p>
        </w:tc>
        <w:tc>
          <w:tcPr>
            <w:tcW w:w="2158"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tcW w:w="5447" w:type="dxa"/>
            <w:vAlign w:val="center"/>
            <w:textDirection w:val="lrTb"/>
            <w:noWrap w:val="false"/>
          </w:tcPr>
          <w:p>
            <w:pPr>
              <w:pStyle w:val="741"/>
              <w:spacing w:line="360" w:lineRule="auto"/>
              <w:rPr>
                <w:rFonts w:ascii="宋体" w:hAnsi="宋体" w:cs="宋体"/>
                <w:szCs w:val="21"/>
              </w:rPr>
            </w:pPr>
            <w:r>
              <w:rPr>
                <w:rFonts w:hint="eastAsia" w:ascii="宋体" w:hAnsi="宋体" w:cs="宋体"/>
                <w:szCs w:val="21"/>
              </w:rPr>
              <w:t xml:space="preserve">供应商信用承诺函</w:t>
            </w:r>
            <w:r>
              <w:rPr>
                <w:rFonts w:ascii="宋体" w:hAnsi="宋体" w:cs="宋体"/>
                <w:szCs w:val="21"/>
              </w:rPr>
            </w:r>
            <w:r/>
          </w:p>
        </w:tc>
        <w:tc>
          <w:tcPr>
            <w:tcW w:w="2158"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741"/>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9</w:t>
            </w:r>
            <w:r>
              <w:rPr>
                <w:rFonts w:ascii="宋体" w:hAnsi="宋体"/>
                <w:szCs w:val="21"/>
              </w:rPr>
            </w:r>
            <w:r/>
          </w:p>
        </w:tc>
        <w:tc>
          <w:tcPr>
            <w:tcW w:w="5447" w:type="dxa"/>
            <w:vAlign w:val="center"/>
            <w:textDirection w:val="lrTb"/>
            <w:noWrap w:val="false"/>
          </w:tcPr>
          <w:p>
            <w:pPr>
              <w:pStyle w:val="741"/>
              <w:ind w:firstLine="420"/>
              <w:spacing w:line="440" w:lineRule="exact"/>
            </w:pPr>
            <w:r>
              <w:rPr>
                <w:rFonts w:hint="eastAsia" w:ascii="宋体" w:hAnsi="宋体" w:cs="宋体"/>
                <w:i/>
                <w:iCs/>
                <w:szCs w:val="21"/>
                <w:highlight w:val="none"/>
                <w:u w:val="single"/>
              </w:rPr>
              <w:t xml:space="preserve">本项目专门面向中小企业采购，投标人应在投标文件中按要求提供《中小企业声明函》。</w:t>
            </w:r>
            <w:r/>
          </w:p>
        </w:tc>
        <w:tc>
          <w:tcPr>
            <w:tcW w:w="2158"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741"/>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10</w:t>
            </w:r>
            <w:r>
              <w:rPr>
                <w:rFonts w:ascii="宋体" w:hAnsi="宋体"/>
                <w:szCs w:val="21"/>
              </w:rPr>
            </w:r>
            <w:r/>
          </w:p>
        </w:tc>
        <w:tc>
          <w:tcPr>
            <w:tcW w:w="5447" w:type="dxa"/>
            <w:vAlign w:val="center"/>
            <w:textDirection w:val="lrTb"/>
            <w:noWrap w:val="false"/>
          </w:tcPr>
          <w:p>
            <w:pPr>
              <w:pStyle w:val="741"/>
              <w:spacing w:line="440" w:lineRule="exact"/>
              <w:rPr>
                <w:rFonts w:ascii="宋体" w:hAnsi="宋体"/>
                <w:iCs/>
                <w:szCs w:val="21"/>
              </w:rPr>
            </w:pPr>
            <w:r>
              <w:rPr>
                <w:rFonts w:hint="eastAsia" w:ascii="宋体" w:hAnsi="宋体" w:cs="宋体"/>
                <w:i/>
                <w:szCs w:val="21"/>
                <w:u w:val="single"/>
              </w:rPr>
              <w:t xml:space="preserve">无</w:t>
            </w:r>
            <w:r>
              <w:rPr>
                <w:rFonts w:ascii="宋体" w:hAnsi="宋体"/>
                <w:iCs/>
                <w:szCs w:val="21"/>
              </w:rPr>
            </w:r>
            <w:r/>
          </w:p>
        </w:tc>
        <w:tc>
          <w:tcPr>
            <w:tcW w:w="2158"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741"/>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c>
          <w:tcPr>
            <w:tcW w:w="5447" w:type="dxa"/>
            <w:vAlign w:val="center"/>
            <w:textDirection w:val="lrTb"/>
            <w:noWrap w:val="false"/>
          </w:tcPr>
          <w:p>
            <w:pPr>
              <w:pStyle w:val="741"/>
              <w:jc w:val="left"/>
              <w:spacing w:line="360" w:lineRule="auto"/>
              <w:rPr>
                <w:rFonts w:ascii="宋体" w:hAnsi="宋体"/>
                <w:iCs/>
                <w:szCs w:val="21"/>
              </w:rPr>
            </w:pPr>
            <w:r>
              <w:rPr>
                <w:rFonts w:hint="eastAsia" w:ascii="宋体" w:hAnsi="宋体"/>
                <w:iCs/>
                <w:szCs w:val="21"/>
              </w:rPr>
              <w:t xml:space="preserve">投标函</w:t>
            </w:r>
            <w:r>
              <w:rPr>
                <w:rFonts w:ascii="宋体" w:hAnsi="宋体"/>
                <w:iCs/>
                <w:szCs w:val="21"/>
              </w:rPr>
            </w:r>
            <w:r/>
          </w:p>
        </w:tc>
        <w:tc>
          <w:tcPr>
            <w:tcW w:w="2158"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12</w:t>
            </w:r>
            <w:r>
              <w:rPr>
                <w:rFonts w:ascii="宋体" w:hAnsi="宋体"/>
                <w:szCs w:val="21"/>
              </w:rPr>
            </w:r>
            <w:r/>
          </w:p>
        </w:tc>
        <w:tc>
          <w:tcPr>
            <w:tcW w:w="5447" w:type="dxa"/>
            <w:vAlign w:val="center"/>
            <w:textDirection w:val="lrTb"/>
            <w:noWrap w:val="false"/>
          </w:tcPr>
          <w:p>
            <w:pPr>
              <w:pStyle w:val="741"/>
              <w:jc w:val="left"/>
              <w:spacing w:line="360" w:lineRule="auto"/>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58" w:type="dxa"/>
            <w:vAlign w:val="center"/>
            <w:textDirection w:val="lrTb"/>
            <w:noWrap w:val="false"/>
          </w:tcPr>
          <w:p>
            <w:pPr>
              <w:pStyle w:val="741"/>
              <w:spacing w:line="360" w:lineRule="auto"/>
              <w:rPr>
                <w:rFonts w:ascii="宋体" w:hAnsi="宋体"/>
                <w:szCs w:val="21"/>
              </w:rPr>
            </w:pPr>
            <w:r>
              <w:rPr>
                <w:rFonts w:ascii="宋体" w:hAnsi="宋体"/>
                <w:szCs w:val="21"/>
              </w:rPr>
            </w:r>
            <w:r/>
          </w:p>
        </w:tc>
      </w:tr>
    </w:tbl>
    <w:p>
      <w:pPr>
        <w:pStyle w:val="741"/>
        <w:ind w:firstLine="1476"/>
        <w:spacing w:line="360" w:lineRule="auto"/>
        <w:rPr>
          <w:rFonts w:ascii="宋体" w:hAnsi="宋体"/>
          <w:b/>
          <w:bCs/>
        </w:rPr>
      </w:pPr>
      <w:r>
        <w:rPr>
          <w:rFonts w:ascii="宋体" w:hAnsi="宋体"/>
          <w:b/>
          <w:bCs/>
        </w:rPr>
      </w:r>
      <w:r/>
    </w:p>
    <w:p>
      <w:pPr>
        <w:pStyle w:val="741"/>
        <w:ind w:firstLine="1476"/>
        <w:spacing w:line="360" w:lineRule="auto"/>
        <w:rPr>
          <w:rFonts w:ascii="宋体" w:hAnsi="宋体"/>
          <w:b/>
          <w:bCs/>
        </w:rPr>
      </w:pPr>
      <w:r>
        <w:rPr>
          <w:rFonts w:ascii="宋体" w:hAnsi="宋体"/>
          <w:b/>
          <w:bCs/>
        </w:rPr>
      </w:r>
      <w:r/>
    </w:p>
    <w:p>
      <w:pPr>
        <w:pStyle w:val="741"/>
        <w:ind w:firstLine="1476"/>
        <w:spacing w:line="360" w:lineRule="auto"/>
        <w:rPr>
          <w:rFonts w:ascii="宋体" w:hAnsi="宋体"/>
          <w:b/>
          <w:bCs/>
        </w:rPr>
      </w:pPr>
      <w:r>
        <w:rPr>
          <w:rFonts w:ascii="宋体" w:hAnsi="宋体"/>
          <w:b/>
          <w:bCs/>
        </w:rPr>
      </w:r>
      <w:r/>
    </w:p>
    <w:p>
      <w:pPr>
        <w:pStyle w:val="741"/>
        <w:ind w:firstLine="1476"/>
        <w:spacing w:line="360" w:lineRule="auto"/>
        <w:rPr>
          <w:rFonts w:ascii="宋体" w:hAnsi="宋体"/>
          <w:b/>
          <w:bCs/>
        </w:rPr>
      </w:pPr>
      <w:r>
        <w:rPr>
          <w:rFonts w:ascii="宋体" w:hAnsi="宋体"/>
          <w:b/>
          <w:bCs/>
        </w:rPr>
      </w:r>
      <w:r/>
    </w:p>
    <w:p>
      <w:pPr>
        <w:pStyle w:val="741"/>
        <w:ind w:firstLine="1476"/>
        <w:spacing w:line="360" w:lineRule="auto"/>
        <w:rPr>
          <w:rFonts w:ascii="宋体" w:hAnsi="宋体"/>
          <w:b/>
          <w:bCs/>
        </w:rPr>
      </w:pPr>
      <w:r>
        <w:rPr>
          <w:rFonts w:ascii="宋体" w:hAnsi="宋体"/>
          <w:b/>
          <w:bCs/>
        </w:rPr>
      </w:r>
      <w:r/>
    </w:p>
    <w:p>
      <w:pPr>
        <w:pStyle w:val="741"/>
        <w:ind w:firstLine="1476"/>
        <w:spacing w:line="360" w:lineRule="auto"/>
        <w:rPr>
          <w:rFonts w:ascii="宋体" w:hAnsi="宋体"/>
          <w:b/>
          <w:bCs/>
        </w:rPr>
      </w:pPr>
      <w:r>
        <w:rPr>
          <w:rFonts w:ascii="宋体" w:hAnsi="宋体"/>
          <w:b/>
          <w:bCs/>
        </w:rPr>
      </w:r>
      <w:r/>
    </w:p>
    <w:p>
      <w:pPr>
        <w:pStyle w:val="741"/>
        <w:ind w:firstLine="1476"/>
        <w:spacing w:line="360" w:lineRule="auto"/>
        <w:rPr>
          <w:rFonts w:ascii="宋体" w:hAnsi="宋体"/>
          <w:b/>
          <w:bCs/>
        </w:rPr>
      </w:pPr>
      <w:r>
        <w:rPr>
          <w:rFonts w:hint="eastAsia" w:ascii="宋体" w:hAnsi="宋体"/>
          <w:b/>
          <w:bCs/>
        </w:rPr>
        <w:t xml:space="preserve">具备履行合同所必需的设备和专业技术能力的书面声明</w:t>
      </w:r>
      <w:r>
        <w:rPr>
          <w:rFonts w:ascii="宋体" w:hAnsi="宋体"/>
          <w:b/>
          <w:bCs/>
        </w:rPr>
      </w:r>
      <w:r/>
    </w:p>
    <w:p>
      <w:pPr>
        <w:pStyle w:val="741"/>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741"/>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741"/>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contextualSpacing/>
        <w:spacing w:line="360" w:lineRule="auto"/>
        <w:rPr>
          <w:rFonts w:ascii="宋体" w:hAnsi="宋体"/>
          <w:b/>
          <w:sz w:val="36"/>
        </w:rPr>
      </w:pPr>
      <w:r>
        <w:rPr>
          <w:rFonts w:ascii="宋体" w:hAnsi="宋体"/>
          <w:b/>
          <w:sz w:val="36"/>
        </w:rPr>
      </w:r>
      <w:r/>
    </w:p>
    <w:p>
      <w:pPr>
        <w:pStyle w:val="741"/>
        <w:spacing w:line="360" w:lineRule="auto"/>
        <w:rPr>
          <w:rFonts w:ascii="宋体" w:hAnsi="宋体"/>
          <w:b/>
          <w:bCs/>
        </w:rPr>
      </w:pPr>
      <w:r>
        <w:rPr>
          <w:rFonts w:ascii="宋体" w:hAnsi="宋体"/>
          <w:b/>
          <w:bCs/>
        </w:rPr>
      </w:r>
      <w:r/>
    </w:p>
    <w:p>
      <w:pPr>
        <w:pStyle w:val="741"/>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rPr>
          <w:rFonts w:ascii="宋体" w:hAnsi="宋体"/>
          <w:b/>
          <w:bCs/>
        </w:rPr>
      </w:r>
      <w:r/>
    </w:p>
    <w:p>
      <w:pPr>
        <w:pStyle w:val="741"/>
        <w:spacing w:line="360" w:lineRule="auto"/>
        <w:rPr>
          <w:rFonts w:ascii="宋体" w:hAnsi="宋体"/>
        </w:rPr>
      </w:pPr>
      <w:r>
        <w:rPr>
          <w:rFonts w:ascii="宋体" w:hAnsi="宋体"/>
        </w:rPr>
      </w:r>
      <w:r/>
    </w:p>
    <w:p>
      <w:pPr>
        <w:pStyle w:val="741"/>
        <w:jc w:val="center"/>
        <w:spacing w:line="360" w:lineRule="auto"/>
        <w:rPr>
          <w:rFonts w:ascii="宋体" w:hAnsi="宋体"/>
          <w:b/>
          <w:bCs/>
        </w:rPr>
      </w:pPr>
      <w:r>
        <w:rPr>
          <w:rFonts w:hint="eastAsia" w:ascii="宋体" w:hAnsi="宋体"/>
          <w:b/>
          <w:bCs/>
        </w:rPr>
        <w:t xml:space="preserve">声  明</w:t>
      </w:r>
      <w:r>
        <w:rPr>
          <w:rFonts w:ascii="宋体" w:hAnsi="宋体"/>
          <w:b/>
          <w:bCs/>
        </w:rPr>
      </w:r>
      <w:r/>
    </w:p>
    <w:p>
      <w:pPr>
        <w:pStyle w:val="741"/>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741"/>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741"/>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741"/>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741"/>
        <w:jc w:val="center"/>
        <w:spacing w:line="360" w:lineRule="auto"/>
        <w:rPr>
          <w:rFonts w:ascii="宋体" w:hAnsi="宋体"/>
          <w:b/>
          <w:bCs/>
        </w:rPr>
      </w:pPr>
      <w:r>
        <w:rPr>
          <w:rFonts w:ascii="宋体" w:hAnsi="宋体"/>
          <w:b/>
          <w:bCs/>
        </w:rPr>
      </w:r>
      <w:r/>
    </w:p>
    <w:p>
      <w:pPr>
        <w:pStyle w:val="741"/>
        <w:jc w:val="center"/>
        <w:spacing w:line="360" w:lineRule="auto"/>
        <w:rPr>
          <w:rFonts w:ascii="宋体" w:hAnsi="宋体"/>
          <w:b/>
          <w:bCs/>
        </w:rPr>
      </w:pPr>
      <w:r>
        <w:rPr>
          <w:rFonts w:ascii="宋体" w:hAnsi="宋体"/>
          <w:b/>
          <w:bCs/>
        </w:rPr>
      </w:r>
      <w:r/>
    </w:p>
    <w:p>
      <w:pPr>
        <w:pStyle w:val="741"/>
        <w:jc w:val="center"/>
        <w:spacing w:line="360" w:lineRule="auto"/>
        <w:rPr>
          <w:rFonts w:ascii="宋体" w:hAnsi="宋体"/>
          <w:b/>
          <w:bCs/>
        </w:rPr>
      </w:pPr>
      <w:r>
        <w:rPr>
          <w:rFonts w:ascii="宋体" w:hAnsi="宋体"/>
          <w:b/>
          <w:bCs/>
        </w:rPr>
      </w:r>
      <w:r/>
    </w:p>
    <w:p>
      <w:pPr>
        <w:pStyle w:val="741"/>
        <w:jc w:val="center"/>
        <w:spacing w:line="360" w:lineRule="auto"/>
        <w:rPr>
          <w:rFonts w:ascii="宋体" w:hAnsi="宋体"/>
          <w:b/>
          <w:bCs/>
        </w:rPr>
      </w:pPr>
      <w:r>
        <w:rPr>
          <w:rFonts w:ascii="宋体" w:hAnsi="宋体"/>
          <w:b/>
          <w:bCs/>
        </w:rPr>
      </w:r>
      <w:r/>
    </w:p>
    <w:p>
      <w:pPr>
        <w:pStyle w:val="741"/>
        <w:jc w:val="center"/>
        <w:spacing w:line="360" w:lineRule="auto"/>
        <w:rPr>
          <w:rFonts w:ascii="宋体" w:hAnsi="宋体"/>
          <w:b/>
          <w:bCs/>
        </w:rPr>
      </w:pPr>
      <w:r>
        <w:rPr>
          <w:rFonts w:ascii="宋体" w:hAnsi="宋体"/>
          <w:b/>
          <w:bCs/>
        </w:rPr>
      </w:r>
      <w:r/>
    </w:p>
    <w:p>
      <w:pPr>
        <w:pStyle w:val="741"/>
        <w:jc w:val="center"/>
        <w:spacing w:line="360" w:lineRule="auto"/>
        <w:rPr>
          <w:rFonts w:ascii="宋体" w:hAnsi="宋体"/>
          <w:b/>
          <w:bCs/>
        </w:rPr>
      </w:pPr>
      <w:r>
        <w:rPr>
          <w:rFonts w:ascii="宋体" w:hAnsi="宋体"/>
          <w:b/>
          <w:bCs/>
        </w:rPr>
      </w:r>
      <w:r/>
    </w:p>
    <w:p>
      <w:pPr>
        <w:pStyle w:val="741"/>
        <w:jc w:val="center"/>
        <w:spacing w:line="360" w:lineRule="auto"/>
        <w:rPr>
          <w:rFonts w:ascii="宋体" w:hAnsi="宋体"/>
          <w:b/>
          <w:bCs/>
        </w:rPr>
      </w:pPr>
      <w:r>
        <w:rPr>
          <w:rFonts w:hint="eastAsia" w:ascii="宋体" w:hAnsi="宋体"/>
          <w:b/>
          <w:bCs/>
        </w:rPr>
        <w:br w:type="page" w:clear="all"/>
      </w:r>
      <w:r>
        <w:rPr>
          <w:rFonts w:ascii="宋体" w:hAnsi="宋体"/>
          <w:b/>
          <w:bCs/>
        </w:rPr>
      </w:r>
      <w:r/>
    </w:p>
    <w:p>
      <w:pPr>
        <w:pStyle w:val="741"/>
        <w:jc w:val="center"/>
        <w:spacing w:line="360" w:lineRule="auto"/>
        <w:rPr>
          <w:rFonts w:ascii="宋体" w:hAnsi="宋体"/>
          <w:b/>
          <w:bCs/>
        </w:rPr>
      </w:pPr>
      <w:r>
        <w:rPr>
          <w:rFonts w:ascii="宋体" w:hAnsi="宋体"/>
          <w:b/>
          <w:bCs/>
        </w:rPr>
      </w:r>
      <w:r/>
    </w:p>
    <w:p>
      <w:pPr>
        <w:pStyle w:val="741"/>
        <w:jc w:val="center"/>
        <w:spacing w:line="360" w:lineRule="auto"/>
        <w:rPr>
          <w:rFonts w:ascii="宋体" w:hAnsi="宋体"/>
          <w:b/>
          <w:bCs/>
        </w:rPr>
      </w:pPr>
      <w:r>
        <w:rPr>
          <w:rFonts w:ascii="宋体" w:hAnsi="宋体"/>
          <w:b/>
          <w:bCs/>
        </w:rPr>
      </w:r>
      <w:r/>
    </w:p>
    <w:p>
      <w:pPr>
        <w:pStyle w:val="741"/>
        <w:jc w:val="center"/>
        <w:spacing w:line="360" w:lineRule="auto"/>
        <w:rPr>
          <w:rFonts w:ascii="宋体" w:hAnsi="宋体"/>
          <w:b/>
          <w:szCs w:val="21"/>
        </w:rPr>
      </w:pPr>
      <w:r>
        <w:rPr>
          <w:rFonts w:hint="eastAsia" w:ascii="宋体" w:hAnsi="宋体"/>
          <w:b/>
          <w:szCs w:val="21"/>
        </w:rPr>
        <w:t xml:space="preserve">供应商信用承诺书</w:t>
      </w:r>
      <w:r>
        <w:rPr>
          <w:rFonts w:ascii="宋体" w:hAnsi="宋体"/>
          <w:b/>
          <w:szCs w:val="21"/>
        </w:rPr>
      </w:r>
      <w:r/>
    </w:p>
    <w:p>
      <w:pPr>
        <w:pStyle w:val="741"/>
        <w:spacing w:line="360" w:lineRule="auto"/>
        <w:rPr>
          <w:rFonts w:ascii="方正仿宋_GBK"/>
          <w:szCs w:val="32"/>
        </w:rPr>
      </w:pPr>
      <w:r>
        <w:rPr>
          <w:rFonts w:ascii="方正仿宋_GBK"/>
          <w:szCs w:val="32"/>
        </w:rPr>
      </w:r>
      <w:r/>
    </w:p>
    <w:p>
      <w:pPr>
        <w:pStyle w:val="741"/>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741"/>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741"/>
        <w:spacing w:line="360" w:lineRule="auto"/>
        <w:rPr>
          <w:rFonts w:ascii="宋体" w:hAnsi="宋体"/>
          <w:szCs w:val="21"/>
        </w:rPr>
      </w:pP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741"/>
        <w:spacing w:line="360" w:lineRule="auto"/>
        <w:rPr>
          <w:rFonts w:ascii="宋体" w:hAnsi="宋体"/>
          <w:szCs w:val="21"/>
        </w:rPr>
      </w:pPr>
      <w:r>
        <w:rPr>
          <w:rFonts w:ascii="宋体" w:hAnsi="宋体"/>
          <w:szCs w:val="21"/>
        </w:rPr>
      </w:r>
      <w:r/>
    </w:p>
    <w:p>
      <w:pPr>
        <w:pStyle w:val="741"/>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741"/>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741"/>
        <w:jc w:val="center"/>
        <w:spacing w:line="360" w:lineRule="auto"/>
        <w:rPr>
          <w:rFonts w:ascii="宋体" w:hAnsi="宋体"/>
          <w:b/>
          <w:bCs/>
        </w:rPr>
      </w:pPr>
      <w:r>
        <w:rPr>
          <w:rFonts w:hint="eastAsia" w:ascii="宋体" w:hAnsi="宋体"/>
          <w:szCs w:val="21"/>
        </w:rPr>
        <w:t xml:space="preserve">　　　　　　　　　      　年    月    日</w:t>
      </w:r>
      <w:r>
        <w:rPr>
          <w:rFonts w:ascii="宋体" w:hAnsi="宋体"/>
          <w:b/>
          <w:bCs/>
        </w:rPr>
      </w:r>
      <w:r/>
    </w:p>
    <w:p>
      <w:pPr>
        <w:pStyle w:val="741"/>
        <w:jc w:val="center"/>
        <w:spacing w:line="360" w:lineRule="auto"/>
        <w:rPr>
          <w:rFonts w:ascii="宋体" w:hAnsi="宋体"/>
          <w:b/>
          <w:bCs/>
        </w:rPr>
      </w:pPr>
      <w:r>
        <w:rPr>
          <w:rFonts w:ascii="宋体" w:hAnsi="宋体"/>
          <w:b/>
          <w:bCs/>
        </w:rPr>
      </w:r>
      <w:r/>
    </w:p>
    <w:p>
      <w:pPr>
        <w:pStyle w:val="741"/>
        <w:jc w:val="center"/>
        <w:spacing w:line="360" w:lineRule="auto"/>
        <w:rPr>
          <w:rFonts w:ascii="宋体" w:hAnsi="宋体"/>
          <w:b/>
          <w:bCs/>
        </w:rPr>
      </w:pPr>
      <w:r>
        <w:rPr>
          <w:rFonts w:ascii="宋体" w:hAnsi="宋体"/>
          <w:b/>
          <w:bCs/>
        </w:rPr>
      </w:r>
      <w:r/>
    </w:p>
    <w:p>
      <w:pPr>
        <w:pStyle w:val="741"/>
        <w:jc w:val="center"/>
        <w:spacing w:line="360" w:lineRule="auto"/>
        <w:rPr>
          <w:rFonts w:ascii="宋体" w:hAnsi="宋体"/>
          <w:b/>
          <w:bCs/>
        </w:rPr>
      </w:pPr>
      <w:r>
        <w:rPr>
          <w:rFonts w:ascii="宋体" w:hAnsi="宋体"/>
          <w:b/>
          <w:bCs/>
        </w:rPr>
      </w:r>
      <w:r/>
    </w:p>
    <w:p>
      <w:pPr>
        <w:pStyle w:val="741"/>
        <w:jc w:val="center"/>
        <w:spacing w:line="360" w:lineRule="auto"/>
        <w:rPr>
          <w:rFonts w:ascii="宋体" w:hAnsi="宋体"/>
          <w:b/>
          <w:bCs/>
        </w:rPr>
      </w:pPr>
      <w:r>
        <w:rPr>
          <w:rFonts w:ascii="宋体" w:hAnsi="宋体"/>
          <w:b/>
          <w:bCs/>
        </w:rPr>
      </w:r>
      <w:r/>
    </w:p>
    <w:p>
      <w:pPr>
        <w:pStyle w:val="741"/>
        <w:jc w:val="center"/>
        <w:spacing w:line="360" w:lineRule="auto"/>
        <w:rPr>
          <w:rFonts w:ascii="宋体" w:hAnsi="宋体"/>
          <w:b/>
          <w:bCs/>
        </w:rPr>
      </w:pPr>
      <w:r>
        <w:rPr>
          <w:rFonts w:hint="eastAsia" w:ascii="宋体" w:hAnsi="宋体"/>
          <w:b/>
          <w:bCs/>
        </w:rPr>
        <w:t xml:space="preserve">投标函格式</w:t>
      </w:r>
      <w:r>
        <w:rPr>
          <w:rFonts w:ascii="宋体" w:hAnsi="宋体"/>
          <w:b/>
          <w:bCs/>
        </w:rPr>
      </w:r>
      <w:r/>
    </w:p>
    <w:p>
      <w:pPr>
        <w:pStyle w:val="941"/>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江苏汇诚投资咨询管理有限公司</w:t>
      </w:r>
      <w:r>
        <w:rPr>
          <w:rFonts w:ascii="宋体" w:hAnsi="宋体"/>
          <w:sz w:val="21"/>
          <w:szCs w:val="21"/>
        </w:rPr>
      </w:r>
      <w:r/>
    </w:p>
    <w:p>
      <w:pPr>
        <w:pStyle w:val="941"/>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rPr>
          <w:rFonts w:ascii="宋体" w:hAnsi="宋体"/>
          <w:sz w:val="21"/>
          <w:szCs w:val="21"/>
        </w:rPr>
      </w:r>
      <w:r/>
    </w:p>
    <w:p>
      <w:pPr>
        <w:pStyle w:val="941"/>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941"/>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rPr>
          <w:rFonts w:ascii="宋体" w:hAnsi="宋体"/>
          <w:sz w:val="21"/>
          <w:szCs w:val="21"/>
        </w:rPr>
      </w:r>
      <w:r/>
    </w:p>
    <w:p>
      <w:pPr>
        <w:pStyle w:val="941"/>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941"/>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rPr>
          <w:rFonts w:ascii="宋体" w:hAnsi="宋体"/>
          <w:sz w:val="21"/>
          <w:szCs w:val="21"/>
        </w:rPr>
      </w:r>
      <w:r/>
    </w:p>
    <w:p>
      <w:pPr>
        <w:pStyle w:val="941"/>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941"/>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941"/>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941"/>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941"/>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941"/>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941"/>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941"/>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941"/>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941"/>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941"/>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941"/>
        <w:ind w:firstLine="479"/>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741"/>
        <w:contextualSpacing/>
        <w:spacing w:line="360" w:lineRule="auto"/>
        <w:rPr>
          <w:rFonts w:ascii="宋体" w:hAnsi="宋体"/>
          <w:b/>
          <w:bCs/>
          <w:sz w:val="32"/>
          <w:szCs w:val="32"/>
        </w:rPr>
      </w:pPr>
      <w:r>
        <w:rPr>
          <w:rFonts w:ascii="宋体" w:hAnsi="宋体"/>
          <w:b/>
          <w:bCs/>
          <w:sz w:val="32"/>
          <w:szCs w:val="32"/>
        </w:rPr>
      </w:r>
      <w:r/>
    </w:p>
    <w:p>
      <w:pPr>
        <w:pStyle w:val="741"/>
        <w:spacing w:line="360" w:lineRule="auto"/>
        <w:rPr>
          <w:rFonts w:ascii="宋体" w:hAnsi="宋体"/>
          <w:b/>
          <w:sz w:val="32"/>
          <w:szCs w:val="32"/>
        </w:rPr>
      </w:pPr>
      <w:r>
        <w:rPr>
          <w:rFonts w:hint="eastAsia" w:ascii="宋体" w:hAnsi="宋体"/>
          <w:b/>
          <w:sz w:val="32"/>
          <w:szCs w:val="32"/>
        </w:rPr>
        <w:br w:type="page" w:clear="all"/>
      </w:r>
      <w:r>
        <w:rPr>
          <w:rFonts w:ascii="宋体" w:hAnsi="宋体"/>
          <w:b/>
          <w:sz w:val="32"/>
          <w:szCs w:val="32"/>
        </w:rPr>
      </w:r>
      <w:r/>
    </w:p>
    <w:p>
      <w:pPr>
        <w:pStyle w:val="942"/>
        <w:ind w:firstLine="422"/>
        <w:jc w:val="center"/>
        <w:spacing w:line="360" w:lineRule="auto"/>
        <w:tabs>
          <w:tab w:val="left" w:pos="360" w:leader="none"/>
        </w:tabs>
        <w:rPr>
          <w:rFonts w:ascii="宋体" w:hAnsi="宋体"/>
          <w:b/>
          <w:sz w:val="21"/>
          <w:szCs w:val="21"/>
        </w:rPr>
      </w:pPr>
      <w:r>
        <w:rPr>
          <w:rFonts w:ascii="宋体" w:hAnsi="宋体"/>
          <w:b/>
          <w:sz w:val="21"/>
          <w:szCs w:val="21"/>
        </w:rPr>
      </w:r>
      <w:r/>
    </w:p>
    <w:p>
      <w:pPr>
        <w:pStyle w:val="942"/>
        <w:ind w:firstLine="422"/>
        <w:jc w:val="center"/>
        <w:spacing w:line="360" w:lineRule="auto"/>
        <w:tabs>
          <w:tab w:val="left" w:pos="360" w:leader="none"/>
        </w:tabs>
        <w:rPr>
          <w:rFonts w:ascii="宋体" w:hAnsi="宋体"/>
          <w:b/>
          <w:sz w:val="21"/>
          <w:szCs w:val="21"/>
        </w:rPr>
      </w:pPr>
      <w:r>
        <w:rPr>
          <w:rFonts w:ascii="宋体" w:hAnsi="宋体"/>
          <w:b/>
          <w:sz w:val="21"/>
          <w:szCs w:val="21"/>
        </w:rPr>
      </w:r>
      <w:r/>
    </w:p>
    <w:p>
      <w:pPr>
        <w:pStyle w:val="942"/>
        <w:ind w:firstLine="422"/>
        <w:jc w:val="center"/>
        <w:spacing w:line="360" w:lineRule="auto"/>
        <w:tabs>
          <w:tab w:val="left" w:pos="360" w:leader="none"/>
        </w:tabs>
        <w:rPr>
          <w:rFonts w:ascii="宋体" w:hAnsi="宋体"/>
          <w:b/>
          <w:sz w:val="21"/>
          <w:szCs w:val="21"/>
        </w:rPr>
      </w:pPr>
      <w:r>
        <w:rPr>
          <w:rFonts w:ascii="宋体" w:hAnsi="宋体"/>
          <w:b/>
          <w:sz w:val="21"/>
          <w:szCs w:val="21"/>
        </w:rPr>
      </w:r>
      <w:r/>
    </w:p>
    <w:p>
      <w:pPr>
        <w:pStyle w:val="942"/>
        <w:ind w:firstLine="422"/>
        <w:jc w:val="center"/>
        <w:spacing w:line="360" w:lineRule="auto"/>
        <w:tabs>
          <w:tab w:val="left" w:pos="360" w:leader="none"/>
        </w:tabs>
        <w:rPr>
          <w:rFonts w:ascii="宋体" w:hAnsi="宋体"/>
          <w:b/>
          <w:sz w:val="21"/>
          <w:szCs w:val="21"/>
        </w:rPr>
      </w:pPr>
      <w:r>
        <w:rPr>
          <w:rFonts w:hint="eastAsia" w:ascii="宋体" w:hAnsi="宋体"/>
          <w:b/>
          <w:sz w:val="21"/>
          <w:szCs w:val="21"/>
        </w:rPr>
        <w:t xml:space="preserve">法人授权书</w:t>
      </w:r>
      <w:r>
        <w:rPr>
          <w:rFonts w:ascii="宋体" w:hAnsi="宋体"/>
          <w:b/>
          <w:sz w:val="21"/>
          <w:szCs w:val="21"/>
        </w:rPr>
      </w:r>
      <w:r/>
    </w:p>
    <w:p>
      <w:pPr>
        <w:pStyle w:val="942"/>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rPr>
          <w:rFonts w:ascii="宋体" w:hAnsi="宋体"/>
          <w:sz w:val="21"/>
          <w:szCs w:val="21"/>
        </w:rPr>
      </w:r>
      <w:r/>
    </w:p>
    <w:p>
      <w:pPr>
        <w:pStyle w:val="942"/>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942"/>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ascii="宋体" w:hAnsi="宋体"/>
          <w:sz w:val="21"/>
          <w:szCs w:val="21"/>
        </w:rPr>
      </w:r>
      <w:r/>
    </w:p>
    <w:p>
      <w:pPr>
        <w:pStyle w:val="942"/>
        <w:ind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rPr>
          <w:rFonts w:ascii="宋体" w:hAnsi="宋体"/>
          <w:sz w:val="21"/>
          <w:szCs w:val="21"/>
        </w:rPr>
      </w:r>
      <w:r/>
    </w:p>
    <w:p>
      <w:pPr>
        <w:pStyle w:val="942"/>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942"/>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rPr>
          <w:rFonts w:ascii="宋体" w:hAnsi="宋体"/>
          <w:sz w:val="21"/>
          <w:szCs w:val="21"/>
        </w:rPr>
      </w:r>
      <w:r/>
    </w:p>
    <w:p>
      <w:pPr>
        <w:pStyle w:val="942"/>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sz w:val="21"/>
          <w:szCs w:val="21"/>
          <w:u w:val="single"/>
        </w:rPr>
      </w:r>
      <w:r/>
    </w:p>
    <w:p>
      <w:pPr>
        <w:pStyle w:val="942"/>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rPr>
          <w:sz w:val="21"/>
          <w:szCs w:val="21"/>
        </w:rPr>
      </w:r>
      <w:r/>
    </w:p>
    <w:p>
      <w:pPr>
        <w:pStyle w:val="741"/>
        <w:spacing w:line="360" w:lineRule="auto"/>
        <w:rPr>
          <w:rFonts w:ascii="宋体" w:hAnsi="宋体"/>
          <w:bCs/>
        </w:rPr>
      </w:pPr>
      <w:r>
        <w:rPr>
          <w:rFonts w:ascii="宋体" w:hAnsi="宋体"/>
          <w:bCs/>
        </w:rPr>
      </w:r>
      <w:r/>
    </w:p>
    <w:p>
      <w:pPr>
        <w:pStyle w:val="741"/>
        <w:spacing w:line="360" w:lineRule="auto"/>
        <w:rPr>
          <w:rFonts w:ascii="宋体" w:hAnsi="宋体"/>
          <w:bCs/>
          <w:sz w:val="24"/>
        </w:rPr>
      </w:pPr>
      <w:r>
        <w:rPr>
          <w:rFonts w:ascii="宋体" w:hAnsi="宋体"/>
          <w:bCs/>
          <w:sz w:val="24"/>
        </w:rPr>
      </w:r>
      <w:r/>
    </w:p>
    <w:p>
      <w:pPr>
        <w:pStyle w:val="741"/>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rPr>
        <w:t xml:space="preserve">被授权人身份证复印件</w:t>
      </w:r>
      <w:r>
        <w:rPr>
          <w:rFonts w:ascii="宋体" w:hAnsi="宋体"/>
          <w:bCs/>
        </w:rPr>
      </w:r>
      <w:r/>
    </w:p>
    <w:p>
      <w:pPr>
        <w:pStyle w:val="743"/>
        <w:spacing w:line="360" w:lineRule="auto"/>
        <w:rPr>
          <w:rFonts w:ascii="宋体" w:hAnsi="宋体" w:eastAsia="宋体"/>
          <w:sz w:val="32"/>
        </w:rPr>
      </w:pPr>
      <w:r/>
      <w:bookmarkStart w:id="69" w:name="_Toc191970196"/>
      <w:r>
        <w:rPr>
          <w:rFonts w:hint="eastAsia" w:ascii="宋体" w:hAnsi="宋体" w:eastAsia="宋体"/>
          <w:sz w:val="32"/>
        </w:rPr>
        <w:t xml:space="preserve">二、符合性审查响应对照表</w:t>
      </w:r>
      <w:bookmarkEnd w:id="69"/>
      <w:r>
        <w:rPr>
          <w:rFonts w:ascii="宋体" w:hAnsi="宋体" w:eastAsia="宋体"/>
          <w:sz w:val="32"/>
        </w:rPr>
      </w:r>
      <w:r/>
    </w:p>
    <w:p>
      <w:pPr>
        <w:pStyle w:val="741"/>
        <w:spacing w:line="360" w:lineRule="auto"/>
        <w:rPr>
          <w:rFonts w:ascii="宋体" w:hAnsi="宋体"/>
          <w:b/>
          <w:sz w:val="32"/>
          <w:szCs w:val="32"/>
        </w:rPr>
      </w:pPr>
      <w:r>
        <w:rPr>
          <w:rFonts w:ascii="宋体" w:hAnsi="宋体"/>
          <w:b/>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41"/>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741"/>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741"/>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741"/>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741"/>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741"/>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741"/>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741"/>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741"/>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741"/>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741"/>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741"/>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741"/>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741"/>
              <w:spacing w:line="360" w:lineRule="auto"/>
              <w:rPr>
                <w:rFonts w:ascii="宋体" w:hAnsi="宋体"/>
                <w:szCs w:val="21"/>
              </w:rPr>
            </w:pPr>
            <w:r>
              <w:rPr>
                <w:rFonts w:ascii="宋体" w:hAnsi="宋体"/>
                <w:szCs w:val="21"/>
              </w:rPr>
            </w:r>
            <w:r/>
          </w:p>
        </w:tc>
      </w:tr>
    </w:tbl>
    <w:p>
      <w:pPr>
        <w:pStyle w:val="741"/>
        <w:contextualSpacing/>
        <w:jc w:val="center"/>
        <w:spacing w:line="360" w:lineRule="auto"/>
        <w:rPr>
          <w:rFonts w:ascii="宋体" w:hAnsi="宋体"/>
          <w:b/>
          <w:bCs/>
          <w:sz w:val="32"/>
          <w:szCs w:val="32"/>
        </w:rPr>
      </w:pPr>
      <w:r>
        <w:rPr>
          <w:rFonts w:ascii="宋体" w:hAnsi="宋体"/>
          <w:b/>
          <w:bCs/>
          <w:sz w:val="32"/>
          <w:szCs w:val="32"/>
        </w:rPr>
      </w:r>
      <w:r/>
    </w:p>
    <w:p>
      <w:pPr>
        <w:pStyle w:val="741"/>
        <w:contextualSpacing/>
        <w:jc w:val="center"/>
        <w:spacing w:line="360" w:lineRule="auto"/>
        <w:rPr>
          <w:rFonts w:ascii="宋体" w:hAnsi="宋体"/>
          <w:b/>
          <w:bCs/>
          <w:sz w:val="32"/>
          <w:szCs w:val="32"/>
        </w:rPr>
      </w:pPr>
      <w:r>
        <w:rPr>
          <w:rFonts w:ascii="宋体" w:hAnsi="宋体"/>
          <w:b/>
          <w:bCs/>
          <w:sz w:val="32"/>
          <w:szCs w:val="32"/>
        </w:rPr>
      </w:r>
      <w:r/>
    </w:p>
    <w:p>
      <w:pPr>
        <w:pStyle w:val="741"/>
        <w:contextualSpacing/>
        <w:jc w:val="center"/>
        <w:spacing w:line="360" w:lineRule="auto"/>
        <w:rPr>
          <w:rFonts w:ascii="宋体" w:hAnsi="宋体"/>
          <w:b/>
          <w:bCs/>
          <w:sz w:val="32"/>
          <w:szCs w:val="32"/>
        </w:rPr>
      </w:pPr>
      <w:r>
        <w:rPr>
          <w:rFonts w:ascii="宋体" w:hAnsi="宋体"/>
          <w:b/>
          <w:bCs/>
          <w:sz w:val="32"/>
          <w:szCs w:val="32"/>
        </w:rPr>
      </w:r>
      <w:r/>
    </w:p>
    <w:p>
      <w:pPr>
        <w:pStyle w:val="741"/>
        <w:contextualSpacing/>
        <w:jc w:val="center"/>
        <w:spacing w:line="360" w:lineRule="auto"/>
        <w:rPr>
          <w:rFonts w:ascii="宋体" w:hAnsi="宋体"/>
          <w:b/>
          <w:bCs/>
          <w:sz w:val="32"/>
          <w:szCs w:val="32"/>
        </w:rPr>
      </w:pPr>
      <w:r>
        <w:rPr>
          <w:rFonts w:ascii="宋体" w:hAnsi="宋体"/>
          <w:b/>
          <w:bCs/>
          <w:sz w:val="32"/>
          <w:szCs w:val="32"/>
        </w:rPr>
      </w:r>
      <w:r/>
    </w:p>
    <w:p>
      <w:pPr>
        <w:pStyle w:val="741"/>
        <w:contextualSpacing/>
        <w:jc w:val="center"/>
        <w:spacing w:line="360" w:lineRule="auto"/>
        <w:rPr>
          <w:rFonts w:ascii="宋体" w:hAnsi="宋体"/>
          <w:b/>
          <w:bCs/>
          <w:sz w:val="32"/>
          <w:szCs w:val="32"/>
        </w:rPr>
      </w:pPr>
      <w:r>
        <w:rPr>
          <w:rFonts w:ascii="宋体" w:hAnsi="宋体"/>
          <w:b/>
          <w:bCs/>
          <w:sz w:val="32"/>
          <w:szCs w:val="32"/>
        </w:rPr>
      </w:r>
      <w:r/>
    </w:p>
    <w:p>
      <w:pPr>
        <w:pStyle w:val="741"/>
        <w:contextualSpacing/>
        <w:jc w:val="center"/>
        <w:spacing w:line="360" w:lineRule="auto"/>
        <w:rPr>
          <w:rFonts w:ascii="宋体" w:hAnsi="宋体"/>
          <w:b/>
          <w:bCs/>
          <w:sz w:val="32"/>
          <w:szCs w:val="32"/>
        </w:rPr>
      </w:pPr>
      <w:r>
        <w:rPr>
          <w:rFonts w:ascii="宋体" w:hAnsi="宋体"/>
          <w:b/>
          <w:bCs/>
          <w:sz w:val="32"/>
          <w:szCs w:val="32"/>
        </w:rPr>
      </w:r>
      <w:r/>
    </w:p>
    <w:p>
      <w:pPr>
        <w:pStyle w:val="741"/>
        <w:contextualSpacing/>
        <w:jc w:val="center"/>
        <w:spacing w:line="360" w:lineRule="auto"/>
        <w:rPr>
          <w:rFonts w:ascii="宋体" w:hAnsi="宋体"/>
          <w:b/>
          <w:bCs/>
          <w:sz w:val="32"/>
          <w:szCs w:val="32"/>
        </w:rPr>
      </w:pPr>
      <w:r>
        <w:rPr>
          <w:rFonts w:ascii="宋体" w:hAnsi="宋体"/>
          <w:b/>
          <w:bCs/>
          <w:sz w:val="32"/>
          <w:szCs w:val="32"/>
        </w:rPr>
      </w:r>
      <w:r/>
    </w:p>
    <w:p>
      <w:pPr>
        <w:pStyle w:val="741"/>
        <w:contextualSpacing/>
        <w:jc w:val="center"/>
        <w:spacing w:line="360" w:lineRule="auto"/>
        <w:rPr>
          <w:rFonts w:ascii="宋体" w:hAnsi="宋体"/>
          <w:b/>
          <w:bCs/>
          <w:sz w:val="32"/>
          <w:szCs w:val="32"/>
        </w:rPr>
      </w:pPr>
      <w:r>
        <w:rPr>
          <w:rFonts w:ascii="宋体" w:hAnsi="宋体"/>
          <w:b/>
          <w:bCs/>
          <w:sz w:val="32"/>
          <w:szCs w:val="32"/>
        </w:rPr>
      </w:r>
      <w:r/>
    </w:p>
    <w:p>
      <w:pPr>
        <w:pStyle w:val="741"/>
        <w:contextualSpacing/>
        <w:jc w:val="center"/>
        <w:spacing w:line="360" w:lineRule="auto"/>
        <w:rPr>
          <w:rFonts w:ascii="宋体" w:hAnsi="宋体"/>
          <w:b/>
          <w:bCs/>
          <w:sz w:val="32"/>
          <w:szCs w:val="32"/>
        </w:rPr>
      </w:pPr>
      <w:r>
        <w:rPr>
          <w:rFonts w:ascii="宋体" w:hAnsi="宋体"/>
          <w:b/>
          <w:bCs/>
          <w:sz w:val="32"/>
          <w:szCs w:val="32"/>
        </w:rPr>
      </w:r>
      <w:r/>
    </w:p>
    <w:p>
      <w:pPr>
        <w:pStyle w:val="741"/>
        <w:contextualSpacing/>
        <w:jc w:val="center"/>
        <w:spacing w:line="360" w:lineRule="auto"/>
        <w:rPr>
          <w:rFonts w:ascii="宋体" w:hAnsi="宋体"/>
          <w:b/>
          <w:bCs/>
          <w:sz w:val="32"/>
          <w:szCs w:val="32"/>
        </w:rPr>
      </w:pPr>
      <w:r>
        <w:rPr>
          <w:rFonts w:ascii="宋体" w:hAnsi="宋体"/>
          <w:b/>
          <w:bCs/>
          <w:sz w:val="32"/>
          <w:szCs w:val="32"/>
        </w:rPr>
      </w:r>
      <w:r/>
    </w:p>
    <w:p>
      <w:pPr>
        <w:pStyle w:val="741"/>
        <w:contextualSpacing/>
        <w:jc w:val="center"/>
        <w:spacing w:line="360" w:lineRule="auto"/>
        <w:rPr>
          <w:rFonts w:ascii="宋体" w:hAnsi="宋体"/>
          <w:b/>
          <w:bCs/>
          <w:sz w:val="32"/>
          <w:szCs w:val="32"/>
        </w:rPr>
      </w:pPr>
      <w:r>
        <w:rPr>
          <w:rFonts w:ascii="宋体" w:hAnsi="宋体"/>
          <w:b/>
          <w:bCs/>
          <w:sz w:val="32"/>
          <w:szCs w:val="32"/>
        </w:rPr>
      </w:r>
      <w:r/>
    </w:p>
    <w:p>
      <w:pPr>
        <w:pStyle w:val="741"/>
        <w:contextualSpacing/>
        <w:spacing w:line="360" w:lineRule="auto"/>
        <w:rPr>
          <w:rFonts w:ascii="宋体" w:hAnsi="宋体"/>
          <w:b/>
          <w:bCs/>
          <w:sz w:val="32"/>
          <w:szCs w:val="32"/>
        </w:rPr>
      </w:pPr>
      <w:r>
        <w:rPr>
          <w:rFonts w:ascii="宋体" w:hAnsi="宋体"/>
          <w:b/>
          <w:bCs/>
          <w:sz w:val="32"/>
          <w:szCs w:val="32"/>
        </w:rPr>
      </w:r>
      <w:r/>
    </w:p>
    <w:p>
      <w:pPr>
        <w:pStyle w:val="743"/>
        <w:spacing w:line="360" w:lineRule="auto"/>
        <w:rPr>
          <w:rFonts w:ascii="宋体" w:hAnsi="宋体" w:eastAsia="宋体"/>
          <w:sz w:val="32"/>
        </w:rPr>
      </w:pPr>
      <w:r/>
      <w:bookmarkStart w:id="70" w:name="_Toc191970197"/>
      <w:r>
        <w:rPr>
          <w:rFonts w:ascii="宋体" w:hAnsi="宋体" w:eastAsia="宋体"/>
          <w:sz w:val="32"/>
        </w:rPr>
      </w:r>
      <w:r/>
    </w:p>
    <w:p>
      <w:pPr>
        <w:pStyle w:val="743"/>
        <w:spacing w:line="360" w:lineRule="auto"/>
        <w:rPr>
          <w:rFonts w:ascii="宋体" w:hAnsi="宋体" w:eastAsia="宋体"/>
          <w:sz w:val="32"/>
        </w:rPr>
      </w:pPr>
      <w:r>
        <w:rPr>
          <w:rFonts w:hint="eastAsia" w:ascii="宋体" w:hAnsi="宋体" w:eastAsia="宋体"/>
          <w:sz w:val="32"/>
        </w:rPr>
        <w:t xml:space="preserve">三、非实质性响应对照表</w:t>
      </w:r>
      <w:bookmarkEnd w:id="70"/>
      <w:r>
        <w:rPr>
          <w:rFonts w:ascii="宋体" w:hAnsi="宋体" w:eastAsia="宋体"/>
          <w:sz w:val="32"/>
        </w:rPr>
      </w:r>
      <w:r/>
    </w:p>
    <w:p>
      <w:pPr>
        <w:pStyle w:val="741"/>
        <w:spacing w:line="360" w:lineRule="auto"/>
        <w:rPr>
          <w:rFonts w:ascii="宋体" w:hAnsi="宋体"/>
          <w:b/>
          <w:sz w:val="32"/>
          <w:szCs w:val="32"/>
        </w:rPr>
      </w:pPr>
      <w:r>
        <w:rPr>
          <w:rFonts w:ascii="宋体" w:hAnsi="宋体"/>
          <w:b/>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41"/>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741"/>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741"/>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741"/>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741"/>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741"/>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741"/>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741"/>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741"/>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741"/>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741"/>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741"/>
              <w:spacing w:line="360" w:lineRule="auto"/>
              <w:rPr>
                <w:rFonts w:ascii="宋体" w:hAnsi="宋体"/>
                <w:szCs w:val="21"/>
              </w:rPr>
            </w:pPr>
            <w:r>
              <w:rPr>
                <w:rFonts w:ascii="宋体" w:hAnsi="宋体"/>
                <w:szCs w:val="21"/>
              </w:rPr>
            </w:r>
            <w:r/>
          </w:p>
        </w:tc>
      </w:tr>
    </w:tbl>
    <w:p>
      <w:pPr>
        <w:pStyle w:val="741"/>
        <w:contextualSpacing/>
        <w:jc w:val="center"/>
        <w:spacing w:line="360" w:lineRule="auto"/>
        <w:rPr>
          <w:rFonts w:ascii="宋体" w:hAnsi="宋体"/>
          <w:b/>
          <w:bCs/>
          <w:sz w:val="32"/>
          <w:szCs w:val="32"/>
        </w:rPr>
      </w:pPr>
      <w:r>
        <w:rPr>
          <w:rFonts w:ascii="宋体" w:hAnsi="宋体"/>
          <w:b/>
          <w:bCs/>
          <w:sz w:val="32"/>
          <w:szCs w:val="32"/>
        </w:rPr>
      </w:r>
      <w:r/>
    </w:p>
    <w:p>
      <w:pPr>
        <w:pStyle w:val="741"/>
        <w:contextualSpacing/>
        <w:jc w:val="center"/>
        <w:spacing w:line="360" w:lineRule="auto"/>
        <w:rPr>
          <w:rFonts w:ascii="宋体" w:hAnsi="宋体"/>
          <w:b/>
          <w:bCs/>
          <w:sz w:val="32"/>
          <w:szCs w:val="32"/>
        </w:rPr>
      </w:pPr>
      <w:r>
        <w:rPr>
          <w:rFonts w:ascii="宋体" w:hAnsi="宋体"/>
          <w:b/>
          <w:bCs/>
          <w:sz w:val="32"/>
          <w:szCs w:val="32"/>
        </w:rPr>
      </w:r>
      <w:r/>
    </w:p>
    <w:p>
      <w:pPr>
        <w:pStyle w:val="741"/>
        <w:spacing w:line="360" w:lineRule="auto"/>
      </w:p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spacing w:line="360" w:lineRule="auto"/>
        <w:rPr>
          <w:b/>
          <w:bCs/>
        </w:rPr>
      </w:pPr>
      <w:r>
        <w:rPr>
          <w:b/>
          <w:bCs/>
        </w:rPr>
      </w:r>
      <w:r/>
    </w:p>
    <w:p>
      <w:pPr>
        <w:pStyle w:val="741"/>
        <w:jc w:val="center"/>
        <w:spacing w:before="312" w:after="312" w:line="360" w:lineRule="auto"/>
        <w:rPr>
          <w:b/>
          <w:bCs/>
          <w:color w:val="000000"/>
        </w:rPr>
      </w:pPr>
      <w:r>
        <w:rPr>
          <w:rFonts w:hint="eastAsia"/>
          <w:b/>
          <w:bCs/>
          <w:color w:val="000000"/>
        </w:rPr>
        <w:t xml:space="preserve">中小企业声明函（货物）</w:t>
      </w:r>
      <w:r>
        <w:rPr>
          <w:b/>
          <w:bCs/>
          <w:color w:val="000000"/>
        </w:rPr>
      </w:r>
      <w:r/>
    </w:p>
    <w:p>
      <w:pPr>
        <w:pStyle w:val="741"/>
        <w:ind w:firstLine="420"/>
        <w:jc w:val="left"/>
        <w:spacing w:line="360" w:lineRule="auto"/>
        <w:rPr>
          <w:color w:val="000000"/>
        </w:rPr>
      </w:pPr>
      <w:r>
        <w:rPr>
          <w:rFonts w:hint="eastAsia"/>
          <w:color w:val="000000"/>
        </w:rPr>
        <w:t xml:space="preserve">本公司（联合体）郑重声明，根据《政府采购促进中小企业发展管理办法》（财库﹝2020﹞46 号）的规定，本公司（联合体）参加江苏汇诚投资咨询管理有限公司组织的</w:t>
      </w:r>
      <w:r>
        <w:rPr>
          <w:rFonts w:hint="eastAsia"/>
          <w:color w:val="000000"/>
          <w:u w:val="single"/>
        </w:rPr>
        <w:t xml:space="preserve">（项目名称）</w:t>
      </w:r>
      <w:r>
        <w:rPr>
          <w:rFonts w:hint="eastAsia"/>
          <w:color w:val="000000"/>
        </w:rPr>
        <w:t xml:space="preserve">，</w:t>
      </w:r>
      <w:r>
        <w:rPr>
          <w:rFonts w:hint="eastAsia"/>
          <w:color w:val="000000"/>
          <w:u w:val="single"/>
        </w:rPr>
        <w:t xml:space="preserve">（项目编号）</w:t>
      </w:r>
      <w:r>
        <w:rPr>
          <w:rFonts w:hint="eastAsia"/>
          <w:color w:val="000000"/>
        </w:rPr>
        <w:t xml:space="preserve">的采购活动，提供的货物全部由符合政策要求的中小企业制造。相关企业（含联合体中的中小企业、签订分包意向协议的中小企业）的具体情况如下：</w:t>
      </w:r>
      <w:r>
        <w:rPr>
          <w:color w:val="000000"/>
        </w:rPr>
      </w:r>
      <w:r/>
    </w:p>
    <w:p>
      <w:pPr>
        <w:pStyle w:val="741"/>
        <w:ind w:firstLine="420"/>
        <w:jc w:val="left"/>
        <w:spacing w:line="360" w:lineRule="auto"/>
        <w:rPr>
          <w:color w:val="000000"/>
        </w:rPr>
      </w:pPr>
      <w:r>
        <w:rPr>
          <w:rFonts w:hint="eastAsia"/>
          <w:color w:val="000000"/>
        </w:rPr>
        <w:t xml:space="preserve"> 1. （标的名称） ，属于（工业）行业；制造商为（企业名称），从业人员    人，营业收入为    万元，资产总额为     万元，属于（□中型企业、□小型企业、□微型企业）； </w:t>
      </w:r>
      <w:r>
        <w:rPr>
          <w:color w:val="000000"/>
        </w:rPr>
      </w:r>
      <w:r/>
    </w:p>
    <w:p>
      <w:pPr>
        <w:pStyle w:val="741"/>
        <w:ind w:firstLine="420"/>
        <w:jc w:val="left"/>
        <w:spacing w:line="360" w:lineRule="auto"/>
        <w:rPr>
          <w:color w:val="000000"/>
        </w:rPr>
      </w:pPr>
      <w:r>
        <w:rPr>
          <w:rFonts w:hint="eastAsia"/>
          <w:color w:val="000000"/>
        </w:rPr>
        <w:t xml:space="preserve">2. （标的名称） ，属于（采购文件中明确的所属行业）行业；制造商为（企业名称），从业人员    人，营业收入为    万元，资产总额为     万元，属于（□中型企业、□小型企业、□微型企业）；</w:t>
      </w:r>
      <w:r>
        <w:rPr>
          <w:color w:val="000000"/>
        </w:rPr>
      </w:r>
      <w:r/>
    </w:p>
    <w:p>
      <w:pPr>
        <w:pStyle w:val="741"/>
        <w:ind w:firstLine="420"/>
        <w:jc w:val="left"/>
        <w:spacing w:line="360" w:lineRule="auto"/>
        <w:rPr>
          <w:color w:val="000000"/>
        </w:rPr>
      </w:pPr>
      <w:r>
        <w:rPr>
          <w:rFonts w:hint="eastAsia"/>
          <w:color w:val="000000"/>
        </w:rPr>
        <w:t xml:space="preserve"> …… </w:t>
      </w:r>
      <w:r>
        <w:rPr>
          <w:color w:val="000000"/>
        </w:rPr>
      </w:r>
      <w:r/>
    </w:p>
    <w:p>
      <w:pPr>
        <w:pStyle w:val="741"/>
        <w:ind w:firstLine="420"/>
        <w:jc w:val="left"/>
        <w:spacing w:line="360" w:lineRule="auto"/>
        <w:rPr>
          <w:color w:val="000000"/>
        </w:rPr>
      </w:pPr>
      <w:r>
        <w:rPr>
          <w:rFonts w:hint="eastAsia"/>
          <w:color w:val="000000"/>
        </w:rPr>
        <w:t xml:space="preserve">以上企业，不属于大企业的分支机构，不存在控股股东为大企业的情形，也不存在与大企业的负责人为同一人的情形。 </w:t>
      </w:r>
      <w:r>
        <w:rPr>
          <w:color w:val="000000"/>
        </w:rPr>
      </w:r>
      <w:r/>
    </w:p>
    <w:p>
      <w:pPr>
        <w:pStyle w:val="741"/>
        <w:ind w:firstLine="420"/>
        <w:jc w:val="left"/>
        <w:spacing w:line="360" w:lineRule="auto"/>
        <w:rPr>
          <w:color w:val="000000"/>
        </w:rPr>
      </w:pPr>
      <w:r>
        <w:rPr>
          <w:rFonts w:hint="eastAsia"/>
          <w:color w:val="000000"/>
        </w:rPr>
        <w:t xml:space="preserve">本企业对上述声明内容的真实性负责。如有虚假，将依法承担相应责任。</w:t>
      </w:r>
      <w:r>
        <w:rPr>
          <w:color w:val="000000"/>
        </w:rPr>
      </w:r>
      <w:r/>
    </w:p>
    <w:p>
      <w:pPr>
        <w:pStyle w:val="741"/>
        <w:ind w:firstLine="420"/>
        <w:jc w:val="left"/>
        <w:spacing w:line="360" w:lineRule="auto"/>
        <w:rPr>
          <w:color w:val="000000"/>
        </w:rPr>
      </w:pPr>
      <w:r>
        <w:rPr>
          <w:color w:val="000000"/>
        </w:rPr>
      </w:r>
      <w:r/>
    </w:p>
    <w:p>
      <w:pPr>
        <w:pStyle w:val="741"/>
        <w:spacing w:line="360" w:lineRule="auto"/>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rPr>
          <w:rFonts w:ascii="宋体" w:hAnsi="宋体"/>
          <w:color w:val="000000"/>
        </w:rPr>
      </w:r>
      <w:r/>
    </w:p>
    <w:p>
      <w:pPr>
        <w:pStyle w:val="741"/>
        <w:ind w:firstLine="420"/>
        <w:spacing w:line="360" w:lineRule="auto"/>
        <w:rPr>
          <w:rFonts w:ascii="宋体" w:hAnsi="宋体"/>
          <w:color w:val="000000"/>
        </w:rPr>
      </w:pPr>
      <w:r>
        <w:rPr>
          <w:rFonts w:hint="eastAsia" w:ascii="宋体" w:hAnsi="宋体"/>
          <w:color w:val="000000"/>
        </w:rPr>
        <w:t xml:space="preserve">2、供应商如不提供此声明函，价格将不做相应扣除。</w:t>
      </w:r>
      <w:r>
        <w:rPr>
          <w:rFonts w:ascii="宋体" w:hAnsi="宋体"/>
          <w:color w:val="000000"/>
        </w:rPr>
      </w:r>
      <w:r/>
    </w:p>
    <w:p>
      <w:pPr>
        <w:pStyle w:val="741"/>
        <w:spacing w:line="360" w:lineRule="auto"/>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741"/>
        <w:ind w:firstLine="420"/>
        <w:jc w:val="left"/>
        <w:spacing w:line="360" w:lineRule="auto"/>
        <w:rPr>
          <w:color w:val="000000"/>
        </w:rPr>
      </w:pPr>
      <w:r>
        <w:rPr>
          <w:rFonts w:hint="eastAsia"/>
          <w:color w:val="000000"/>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rPr>
      </w:r>
      <w:r/>
    </w:p>
    <w:p>
      <w:pPr>
        <w:pStyle w:val="741"/>
        <w:ind w:firstLine="420"/>
        <w:jc w:val="left"/>
        <w:spacing w:line="360" w:lineRule="auto"/>
        <w:rPr>
          <w:color w:val="000000"/>
        </w:rPr>
      </w:pPr>
      <w:r>
        <w:rPr>
          <w:rFonts w:hint="eastAsia"/>
          <w:color w:val="000000"/>
        </w:rPr>
        <w:t xml:space="preserve">5、中小企业不得属于大企业的分支机构，不得存在控股股东为大企业的情形，不得存在与大企业的负责人为同一人的情形。</w:t>
      </w:r>
      <w:r>
        <w:rPr>
          <w:color w:val="000000"/>
        </w:rPr>
      </w:r>
      <w:r/>
    </w:p>
    <w:p>
      <w:pPr>
        <w:pStyle w:val="741"/>
        <w:ind w:firstLine="420"/>
        <w:jc w:val="left"/>
        <w:spacing w:line="360" w:lineRule="auto"/>
        <w:rPr>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rPr>
      </w:r>
      <w:r/>
    </w:p>
    <w:p>
      <w:pPr>
        <w:pStyle w:val="741"/>
        <w:ind w:firstLine="4620"/>
        <w:jc w:val="left"/>
        <w:spacing w:line="360" w:lineRule="auto"/>
        <w:rPr>
          <w:color w:val="000000"/>
        </w:rPr>
      </w:pPr>
      <w:r>
        <w:rPr>
          <w:rFonts w:hint="eastAsia"/>
          <w:color w:val="000000"/>
        </w:rPr>
        <w:t xml:space="preserve">企业名称（盖章）：</w:t>
      </w:r>
      <w:r>
        <w:rPr>
          <w:color w:val="000000"/>
        </w:rPr>
      </w:r>
      <w:r/>
    </w:p>
    <w:p>
      <w:pPr>
        <w:pStyle w:val="741"/>
        <w:ind w:firstLine="4620"/>
        <w:jc w:val="left"/>
        <w:spacing w:line="360" w:lineRule="auto"/>
        <w:rPr>
          <w:rFonts w:ascii="宋体" w:hAnsi="宋体" w:cs="微软雅黑"/>
          <w:color w:val="000000"/>
          <w:szCs w:val="21"/>
        </w:rPr>
      </w:pPr>
      <w:r>
        <w:rPr>
          <w:rFonts w:hint="eastAsia"/>
          <w:color w:val="000000"/>
        </w:rPr>
        <w:t xml:space="preserve">日 期：</w:t>
      </w:r>
      <w:r>
        <w:rPr>
          <w:rFonts w:ascii="宋体" w:hAnsi="宋体" w:cs="微软雅黑"/>
          <w:color w:val="000000"/>
          <w:szCs w:val="21"/>
        </w:rPr>
      </w:r>
      <w:r/>
    </w:p>
    <w:p>
      <w:pPr>
        <w:pStyle w:val="953"/>
        <w:spacing w:before="300" w:after="300" w:line="360" w:lineRule="auto"/>
        <w:widowControl/>
        <w:rPr>
          <w:rFonts w:ascii="宋体" w:hAnsi="宋体" w:eastAsia="宋体"/>
          <w:color w:val="000000"/>
          <w:sz w:val="21"/>
          <w:szCs w:val="21"/>
        </w:rPr>
      </w:pPr>
      <w:r>
        <w:rPr>
          <w:rFonts w:hint="eastAsia" w:ascii="宋体" w:hAnsi="宋体" w:eastAsia="宋体" w:cs="微软雅黑"/>
          <w:bCs w:val="0"/>
          <w:color w:val="000000"/>
          <w:sz w:val="21"/>
          <w:szCs w:val="21"/>
        </w:rPr>
        <w:t xml:space="preserve">中小微企业划型标准 </w:t>
      </w:r>
      <w:r>
        <w:rPr>
          <w:rFonts w:ascii="宋体" w:hAnsi="宋体" w:eastAsia="宋体"/>
          <w:color w:val="000000"/>
          <w:sz w:val="21"/>
          <w:szCs w:val="21"/>
        </w:rPr>
      </w:r>
      <w:r/>
    </w:p>
    <w:p>
      <w:pPr>
        <w:pStyle w:val="955"/>
        <w:ind w:firstLine="420"/>
        <w:spacing w:before="300" w:after="452" w:line="360" w:lineRule="auto"/>
        <w:widowControl/>
        <w:rPr>
          <w:rFonts w:ascii="宋体" w:hAnsi="宋体"/>
          <w:color w:val="000000"/>
          <w:sz w:val="21"/>
          <w:szCs w:val="21"/>
        </w:rPr>
      </w:pPr>
      <w:r>
        <w:rPr>
          <w:rFonts w:hint="eastAsia" w:ascii="宋体" w:hAnsi="宋体" w:cs="仿宋"/>
          <w:color w:val="000000"/>
          <w:sz w:val="21"/>
          <w:szCs w:val="21"/>
        </w:rPr>
        <w:t xml:space="preserve">    </w:t>
      </w:r>
      <w:r>
        <w:rPr>
          <w:rStyle w:val="956"/>
          <w:rFonts w:hint="eastAsia" w:ascii="宋体" w:hAnsi="宋体" w:cs="仿宋"/>
          <w:color w:val="000000"/>
          <w:sz w:val="21"/>
          <w:szCs w:val="21"/>
        </w:rPr>
        <w:t xml:space="preserve">中小微企业划型标准如下：</w:t>
      </w:r>
      <w:r>
        <w:rPr>
          <w:rFonts w:ascii="宋体" w:hAnsi="宋体"/>
          <w:color w:val="000000"/>
          <w:sz w:val="21"/>
          <w:szCs w:val="21"/>
        </w:rPr>
      </w:r>
      <w:r/>
    </w:p>
    <w:tbl>
      <w:tblPr>
        <w:tblW w:w="10385" w:type="dxa"/>
        <w:tblCellSpacing w:w="15" w:type="dxa"/>
        <w:tblInd w:w="-101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955"/>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行业名称</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指标名称</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计量单位</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中型</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小型</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微型</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农、林、牧、渔</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50≤Y＜500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工业</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2000≤Y＜40000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300≤Y＜2000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建筑业</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6000≤Y＜80000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300≤Y＜6000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5000≤Z＜80000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300≤Z＜5000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Z＜300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批发业</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20≤X＜200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5≤X＜20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X＜5</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5000≤Y＜40000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Y＜1000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零售业</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50≤X＜300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10≤X＜50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100≤Y＜500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交通运输业</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3000≤Y＜30000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200≤Y＜3000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Y＜200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仓储业</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100≤X＜200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20≤X＜100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1000≤Y＜30000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邮政业</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2000≤Y＜30000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住宿业</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ind w:firstLine="420"/>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餐饮业</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信息传输业</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100≤X＜2000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1000≤Y＜100000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软件和信息技术服务业</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1000≤Y＜10000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50≤Y＜1000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房地产开发经营</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1000≤Y＜200000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100≤X＜1000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5000≤Z＜10000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2000≤Y＜5000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Y＜2000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物业管理</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500≤Y＜1000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Y＜500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租赁和商务服务业</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755" w:type="dxa"/>
            <w:vAlign w:val="center"/>
            <w:vMerge w:val="continue"/>
            <w:textDirection w:val="lrTb"/>
            <w:noWrap w:val="false"/>
          </w:tcPr>
          <w:p>
            <w:pPr>
              <w:pStyle w:val="741"/>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8000≤Z＜120000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100≤Z＜8000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其他未列明行业</w:t>
            </w:r>
            <w:r>
              <w:rPr>
                <w:rFonts w:ascii="宋体" w:hAnsi="宋体"/>
                <w:color w:val="000000"/>
                <w:sz w:val="21"/>
                <w:szCs w:val="21"/>
              </w:rPr>
            </w:r>
            <w:r/>
          </w:p>
        </w:tc>
        <w:tc>
          <w:tcPr>
            <w:tcMar>
              <w:left w:w="105" w:type="dxa"/>
              <w:top w:w="0" w:type="dxa"/>
              <w:right w:w="105" w:type="dxa"/>
              <w:bottom w:w="0" w:type="dxa"/>
            </w:tcMar>
            <w:tcW w:w="2067"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3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890"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82" w:type="dxa"/>
            <w:vAlign w:val="center"/>
            <w:textDirection w:val="lrTb"/>
            <w:noWrap w:val="false"/>
          </w:tcPr>
          <w:p>
            <w:pPr>
              <w:pStyle w:val="955"/>
              <w:jc w:val="center"/>
              <w:spacing w:after="150" w:line="360" w:lineRule="auto"/>
              <w:widowControl/>
              <w:rPr>
                <w:rFonts w:ascii="宋体" w:hAnsi="宋体"/>
                <w:color w:val="000000"/>
                <w:sz w:val="21"/>
                <w:szCs w:val="21"/>
              </w:rPr>
            </w:pPr>
            <w:r>
              <w:rPr>
                <w:rStyle w:val="956"/>
                <w:rFonts w:hint="eastAsia" w:ascii="宋体" w:hAnsi="宋体" w:cs="仿宋"/>
                <w:color w:val="000000"/>
                <w:sz w:val="21"/>
                <w:szCs w:val="21"/>
              </w:rPr>
              <w:t xml:space="preserve">X＜10</w:t>
            </w:r>
            <w:r>
              <w:rPr>
                <w:rFonts w:ascii="宋体" w:hAnsi="宋体"/>
                <w:color w:val="000000"/>
                <w:sz w:val="21"/>
                <w:szCs w:val="21"/>
              </w:rPr>
            </w:r>
            <w:r/>
          </w:p>
        </w:tc>
      </w:tr>
    </w:tbl>
    <w:p>
      <w:pPr>
        <w:pStyle w:val="955"/>
        <w:ind w:firstLine="810"/>
        <w:spacing w:before="300" w:after="452" w:line="360" w:lineRule="auto"/>
        <w:widowControl/>
        <w:rPr>
          <w:rStyle w:val="956"/>
          <w:rFonts w:ascii="宋体" w:hAnsi="宋体" w:cs="仿宋"/>
          <w:color w:val="000000"/>
          <w:sz w:val="21"/>
          <w:szCs w:val="21"/>
        </w:rPr>
      </w:pPr>
      <w:r>
        <w:rPr>
          <w:rStyle w:val="956"/>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56"/>
          <w:rFonts w:ascii="宋体" w:hAnsi="宋体" w:cs="仿宋"/>
          <w:color w:val="000000"/>
          <w:sz w:val="21"/>
          <w:szCs w:val="21"/>
        </w:rPr>
      </w:r>
      <w:r/>
    </w:p>
    <w:p>
      <w:pPr>
        <w:pStyle w:val="744"/>
        <w:spacing w:line="360" w:lineRule="auto"/>
        <w:rPr>
          <w:rStyle w:val="793"/>
          <w:rFonts w:cs="仿宋"/>
          <w:sz w:val="21"/>
          <w:szCs w:val="21"/>
        </w:rPr>
      </w:pPr>
      <w:r>
        <w:rPr>
          <w:rStyle w:val="793"/>
          <w:rFonts w:ascii="宋体" w:hAnsi="宋体" w:cs="仿宋"/>
          <w:sz w:val="21"/>
          <w:szCs w:val="21"/>
        </w:rPr>
        <w:br w:type="page" w:clear="all"/>
      </w:r>
      <w:r>
        <w:rPr>
          <w:rStyle w:val="793"/>
          <w:rFonts w:cs="仿宋"/>
          <w:sz w:val="21"/>
          <w:szCs w:val="21"/>
        </w:rPr>
      </w:r>
      <w:r/>
    </w:p>
    <w:p>
      <w:pPr>
        <w:pStyle w:val="741"/>
        <w:ind w:firstLine="2726"/>
        <w:spacing w:line="360" w:lineRule="auto"/>
        <w:rPr>
          <w:rFonts w:ascii="宋体" w:hAnsi="宋体"/>
          <w:b/>
          <w:bCs/>
        </w:rPr>
      </w:pPr>
      <w:r>
        <w:rPr>
          <w:rFonts w:hint="eastAsia" w:ascii="宋体" w:hAnsi="宋体"/>
          <w:b/>
          <w:bCs/>
        </w:rPr>
        <w:t xml:space="preserve">残疾人福利性单位声明函</w:t>
      </w:r>
      <w:r>
        <w:rPr>
          <w:rFonts w:ascii="宋体" w:hAnsi="宋体"/>
          <w:b/>
          <w:bCs/>
        </w:rPr>
      </w:r>
      <w:r/>
    </w:p>
    <w:p>
      <w:pPr>
        <w:pStyle w:val="741"/>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741"/>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741"/>
        <w:ind w:firstLine="420"/>
        <w:spacing w:line="360" w:lineRule="auto"/>
        <w:rPr>
          <w:rFonts w:ascii="宋体" w:hAnsi="宋体"/>
          <w:szCs w:val="21"/>
        </w:rPr>
      </w:pPr>
      <w:r>
        <w:rPr>
          <w:rFonts w:ascii="宋体" w:hAnsi="宋体"/>
          <w:szCs w:val="21"/>
        </w:rPr>
      </w:r>
      <w:r/>
    </w:p>
    <w:p>
      <w:pPr>
        <w:pStyle w:val="741"/>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rPr>
          <w:rFonts w:ascii="宋体" w:hAnsi="宋体"/>
          <w:szCs w:val="21"/>
        </w:rPr>
      </w:r>
      <w:r/>
    </w:p>
    <w:p>
      <w:pPr>
        <w:pStyle w:val="741"/>
        <w:ind w:firstLine="444"/>
        <w:spacing w:line="360" w:lineRule="auto"/>
        <w:rPr>
          <w:rFonts w:ascii="仿宋_GB2312" w:eastAsia="仿宋_GB2312"/>
          <w:spacing w:val="6"/>
          <w:szCs w:val="21"/>
        </w:rPr>
      </w:pPr>
      <w:r>
        <w:rPr>
          <w:rFonts w:ascii="仿宋_GB2312" w:eastAsia="仿宋_GB2312"/>
          <w:spacing w:val="6"/>
          <w:szCs w:val="21"/>
        </w:rPr>
      </w:r>
      <w:r/>
    </w:p>
    <w:p>
      <w:pPr>
        <w:pStyle w:val="741"/>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741"/>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spacing w:line="360" w:lineRule="auto"/>
        <w:rPr>
          <w:rFonts w:ascii="宋体" w:hAnsi="宋体"/>
          <w:b/>
          <w:sz w:val="32"/>
          <w:szCs w:val="32"/>
        </w:rPr>
      </w:pPr>
      <w:r>
        <w:rPr>
          <w:rFonts w:hint="eastAsia" w:ascii="宋体" w:hAnsi="宋体"/>
          <w:b/>
          <w:sz w:val="32"/>
          <w:szCs w:val="32"/>
        </w:rPr>
        <w:br w:type="page" w:clear="all"/>
      </w:r>
      <w:r>
        <w:rPr>
          <w:rFonts w:ascii="宋体" w:hAnsi="宋体"/>
          <w:b/>
          <w:sz w:val="32"/>
          <w:szCs w:val="32"/>
        </w:rPr>
      </w:r>
      <w:r/>
    </w:p>
    <w:p>
      <w:pPr>
        <w:pStyle w:val="743"/>
        <w:spacing w:line="360" w:lineRule="auto"/>
        <w:rPr>
          <w:rFonts w:ascii="宋体" w:hAnsi="宋体" w:eastAsia="宋体"/>
          <w:sz w:val="32"/>
        </w:rPr>
      </w:pPr>
      <w:r/>
      <w:bookmarkStart w:id="71" w:name="_Toc191970198"/>
      <w:r>
        <w:rPr>
          <w:rFonts w:hint="eastAsia" w:ascii="宋体" w:hAnsi="宋体" w:eastAsia="宋体"/>
          <w:sz w:val="32"/>
        </w:rPr>
        <w:t xml:space="preserve">四、开标一览表</w:t>
      </w:r>
      <w:bookmarkEnd w:id="71"/>
      <w:r>
        <w:rPr>
          <w:rFonts w:ascii="宋体" w:hAnsi="宋体" w:eastAsia="宋体"/>
          <w:sz w:val="32"/>
        </w:rPr>
      </w:r>
      <w:r/>
    </w:p>
    <w:p>
      <w:pPr>
        <w:pStyle w:val="741"/>
        <w:ind w:firstLine="480"/>
        <w:spacing w:line="360" w:lineRule="auto"/>
        <w:rPr>
          <w:szCs w:val="21"/>
        </w:rPr>
      </w:pPr>
      <w:r>
        <w:rPr>
          <w:rFonts w:hint="eastAsia" w:ascii="宋体" w:hAnsi="宋体"/>
          <w:szCs w:val="21"/>
        </w:rPr>
        <w:t xml:space="preserve">项目名称：</w:t>
      </w:r>
      <w:r>
        <w:rPr>
          <w:szCs w:val="21"/>
        </w:rPr>
      </w:r>
      <w:r/>
    </w:p>
    <w:p>
      <w:pPr>
        <w:pStyle w:val="741"/>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741"/>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741"/>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65"/>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rPr>
                <w:rFonts w:ascii="宋体" w:hAnsi="宋体" w:eastAsia="宋体" w:cs="宋体"/>
                <w:sz w:val="21"/>
                <w:szCs w:val="21"/>
              </w:rPr>
            </w:r>
            <w:r/>
          </w:p>
        </w:tc>
        <w:tc>
          <w:tcPr>
            <w:tcW w:w="6405" w:type="dxa"/>
            <w:vAlign w:val="center"/>
            <w:textDirection w:val="lrTb"/>
            <w:noWrap w:val="false"/>
          </w:tcPr>
          <w:p>
            <w:pPr>
              <w:pStyle w:val="741"/>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投标报价</w:t>
            </w:r>
            <w:r>
              <w:rPr>
                <w:rFonts w:ascii="宋体" w:hAnsi="宋体"/>
                <w:szCs w:val="21"/>
              </w:rPr>
            </w:r>
            <w:r/>
          </w:p>
        </w:tc>
      </w:tr>
      <w:tr>
        <w:trPr>
          <w:cantSplit/>
          <w:trHeight w:val="1724"/>
        </w:trPr>
        <w:tc>
          <w:tcPr>
            <w:tcW w:w="2481" w:type="dxa"/>
            <w:vAlign w:val="center"/>
            <w:textDirection w:val="lrTb"/>
            <w:noWrap w:val="false"/>
          </w:tcPr>
          <w:p>
            <w:pPr>
              <w:pStyle w:val="765"/>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41"/>
              <w:ind w:firstLine="0"/>
              <w:spacing w:before="0" w:after="0"/>
              <w:rPr>
                <w:rFonts w:ascii="宋体" w:hAnsi="宋体" w:cs="宋体"/>
                <w:sz w:val="21"/>
                <w:szCs w:val="21"/>
              </w:rPr>
            </w:pPr>
            <w:r>
              <w:rPr>
                <w:rFonts w:hint="eastAsia" w:ascii="宋体" w:hAnsi="宋体" w:cs="宋体"/>
                <w:sz w:val="21"/>
                <w:szCs w:val="21"/>
              </w:rPr>
              <w:t xml:space="preserve">大写：         元</w:t>
            </w:r>
            <w:r>
              <w:rPr>
                <w:rFonts w:ascii="宋体" w:hAnsi="宋体" w:cs="宋体"/>
                <w:sz w:val="21"/>
                <w:szCs w:val="21"/>
              </w:rPr>
            </w:r>
            <w:r/>
          </w:p>
          <w:p>
            <w:pPr>
              <w:pStyle w:val="941"/>
              <w:ind w:firstLine="0"/>
              <w:spacing w:before="0" w:after="0"/>
              <w:rPr>
                <w:rFonts w:ascii="宋体" w:hAnsi="宋体" w:cs="宋体"/>
                <w:sz w:val="21"/>
                <w:szCs w:val="21"/>
              </w:rPr>
            </w:pPr>
            <w:r>
              <w:rPr>
                <w:rFonts w:hint="eastAsia" w:ascii="宋体" w:hAnsi="宋体" w:cs="宋体"/>
                <w:sz w:val="21"/>
                <w:szCs w:val="21"/>
              </w:rPr>
              <w:t xml:space="preserve">小写：         元                  </w:t>
            </w:r>
            <w:r>
              <w:rPr>
                <w:rFonts w:ascii="宋体" w:hAnsi="宋体" w:cs="宋体"/>
                <w:sz w:val="21"/>
                <w:szCs w:val="21"/>
              </w:rPr>
            </w:r>
            <w:r/>
          </w:p>
          <w:p>
            <w:pPr>
              <w:pStyle w:val="941"/>
              <w:ind w:firstLine="0"/>
              <w:spacing w:before="0" w:after="0"/>
              <w:rPr>
                <w:rFonts w:ascii="宋体" w:hAnsi="宋体" w:cs="宋体"/>
                <w:sz w:val="21"/>
                <w:szCs w:val="21"/>
              </w:rPr>
            </w:pPr>
            <w:r>
              <w:rPr>
                <w:rFonts w:hint="eastAsia" w:ascii="宋体" w:hAnsi="宋体" w:cs="宋体"/>
                <w:sz w:val="21"/>
                <w:szCs w:val="21"/>
              </w:rPr>
              <w:t xml:space="preserve">（人民币）</w:t>
            </w:r>
            <w:r>
              <w:rPr>
                <w:rFonts w:ascii="宋体" w:hAnsi="宋体" w:cs="宋体"/>
                <w:sz w:val="21"/>
                <w:szCs w:val="21"/>
              </w:rPr>
            </w:r>
            <w:r/>
          </w:p>
          <w:p>
            <w:pPr>
              <w:pStyle w:val="941"/>
              <w:ind w:firstLine="0"/>
              <w:spacing w:before="0" w:after="0"/>
              <w:rPr>
                <w:rFonts w:ascii="宋体" w:hAnsi="宋体" w:cs="宋体"/>
                <w:sz w:val="21"/>
                <w:szCs w:val="21"/>
              </w:rPr>
            </w:pPr>
            <w:r>
              <w:rPr>
                <w:rFonts w:ascii="宋体" w:hAnsi="宋体" w:cs="宋体"/>
                <w:sz w:val="21"/>
                <w:szCs w:val="21"/>
              </w:rPr>
            </w:r>
            <w:r/>
          </w:p>
        </w:tc>
      </w:tr>
      <w:tr>
        <w:trPr>
          <w:cantSplit/>
          <w:trHeight w:val="604"/>
        </w:trPr>
        <w:tc>
          <w:tcPr>
            <w:tcW w:w="2481" w:type="dxa"/>
            <w:vAlign w:val="center"/>
            <w:textDirection w:val="lrTb"/>
            <w:noWrap w:val="false"/>
          </w:tcPr>
          <w:p>
            <w:pPr>
              <w:pStyle w:val="765"/>
              <w:jc w:val="center"/>
              <w:spacing w:line="360" w:lineRule="auto"/>
              <w:rPr>
                <w:rFonts w:ascii="宋体" w:hAnsi="宋体" w:eastAsia="宋体" w:cs="宋体"/>
                <w:sz w:val="21"/>
                <w:szCs w:val="21"/>
              </w:rPr>
            </w:pPr>
            <w:r>
              <w:rPr>
                <w:rFonts w:hint="eastAsia" w:ascii="宋体" w:hAnsi="宋体" w:eastAsia="宋体" w:cs="宋体"/>
                <w:sz w:val="21"/>
                <w:szCs w:val="21"/>
              </w:rPr>
              <w:t xml:space="preserve">核心产品品牌</w:t>
            </w:r>
            <w:r>
              <w:rPr>
                <w:rFonts w:ascii="宋体" w:hAnsi="宋体" w:eastAsia="宋体" w:cs="宋体"/>
                <w:sz w:val="21"/>
                <w:szCs w:val="21"/>
              </w:rPr>
            </w:r>
            <w:r/>
          </w:p>
        </w:tc>
        <w:tc>
          <w:tcPr>
            <w:tcW w:w="6405" w:type="dxa"/>
            <w:vAlign w:val="center"/>
            <w:textDirection w:val="lrTb"/>
            <w:noWrap w:val="false"/>
          </w:tcPr>
          <w:p>
            <w:pPr>
              <w:pStyle w:val="941"/>
              <w:ind w:firstLine="0"/>
              <w:spacing w:before="0" w:after="0"/>
              <w:rPr>
                <w:rFonts w:ascii="宋体" w:hAnsi="宋体" w:cs="宋体"/>
                <w:sz w:val="21"/>
                <w:szCs w:val="21"/>
              </w:rPr>
            </w:pPr>
            <w:r/>
            <w:bookmarkStart w:id="72" w:name="_GoBack"/>
            <w:r/>
            <w:bookmarkEnd w:id="72"/>
            <w:r>
              <w:rPr>
                <w:rFonts w:ascii="宋体" w:hAnsi="宋体" w:cs="宋体"/>
                <w:sz w:val="21"/>
                <w:szCs w:val="21"/>
              </w:rPr>
            </w:r>
            <w:r/>
          </w:p>
        </w:tc>
      </w:tr>
    </w:tbl>
    <w:p>
      <w:pPr>
        <w:pStyle w:val="947"/>
        <w:spacing w:line="360" w:lineRule="auto"/>
        <w:rPr>
          <w:rFonts w:hAnsi="宋体" w:eastAsia="宋体"/>
          <w:b/>
          <w:bCs/>
          <w:sz w:val="21"/>
          <w:szCs w:val="21"/>
        </w:rPr>
      </w:pPr>
      <w:r>
        <w:rPr>
          <w:rFonts w:hAnsi="宋体" w:eastAsia="宋体"/>
          <w:b/>
          <w:bCs/>
          <w:sz w:val="21"/>
          <w:szCs w:val="21"/>
        </w:rPr>
      </w:r>
      <w:r/>
    </w:p>
    <w:p>
      <w:pPr>
        <w:pStyle w:val="741"/>
        <w:spacing w:line="360" w:lineRule="auto"/>
        <w:rPr>
          <w:rFonts w:ascii="宋体" w:hAnsi="宋体"/>
          <w:szCs w:val="21"/>
        </w:rPr>
      </w:pPr>
      <w:r>
        <w:rPr>
          <w:rFonts w:ascii="宋体" w:hAnsi="宋体"/>
          <w:szCs w:val="21"/>
        </w:rPr>
      </w:r>
      <w:r/>
    </w:p>
    <w:p>
      <w:pPr>
        <w:pStyle w:val="741"/>
        <w:ind w:firstLine="480"/>
        <w:spacing w:line="360" w:lineRule="auto"/>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766"/>
        <w:rPr>
          <w:rFonts w:ascii="宋体" w:hAnsi="宋体"/>
          <w:szCs w:val="21"/>
        </w:rPr>
      </w:pPr>
      <w:r>
        <w:rPr>
          <w:rFonts w:ascii="宋体" w:hAnsi="宋体"/>
          <w:szCs w:val="21"/>
        </w:rPr>
      </w:r>
      <w:r/>
    </w:p>
    <w:p>
      <w:pPr>
        <w:pStyle w:val="741"/>
        <w:ind w:firstLine="640"/>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pPr>
        <w:pStyle w:val="741"/>
      </w:pPr>
      <w:r/>
      <w:r/>
    </w:p>
    <w:p>
      <w:pPr>
        <w:pStyle w:val="762"/>
        <w:ind w:firstLine="640"/>
        <w:spacing w:line="360" w:lineRule="auto"/>
        <w:rPr>
          <w:rFonts w:ascii="宋体" w:hAnsi="宋体"/>
          <w:sz w:val="32"/>
          <w:szCs w:val="32"/>
        </w:rPr>
      </w:pPr>
      <w:r>
        <w:rPr>
          <w:rFonts w:ascii="宋体" w:hAnsi="宋体"/>
          <w:sz w:val="32"/>
          <w:szCs w:val="32"/>
        </w:rPr>
      </w:r>
      <w:r/>
    </w:p>
    <w:p>
      <w:pPr>
        <w:pStyle w:val="762"/>
        <w:ind w:firstLine="640"/>
        <w:spacing w:line="360" w:lineRule="auto"/>
        <w:rPr>
          <w:rFonts w:ascii="宋体" w:hAnsi="宋体"/>
          <w:sz w:val="32"/>
          <w:szCs w:val="32"/>
        </w:rPr>
      </w:pPr>
      <w:r>
        <w:rPr>
          <w:rFonts w:ascii="宋体" w:hAnsi="宋体"/>
          <w:sz w:val="32"/>
          <w:szCs w:val="32"/>
        </w:rPr>
      </w:r>
      <w:r/>
    </w:p>
    <w:p>
      <w:pPr>
        <w:pStyle w:val="741"/>
        <w:spacing w:line="360" w:lineRule="auto"/>
        <w:rPr>
          <w:rFonts w:ascii="宋体" w:hAnsi="宋体"/>
          <w:sz w:val="32"/>
          <w:szCs w:val="32"/>
        </w:rPr>
      </w:pPr>
      <w:r>
        <w:rPr>
          <w:rFonts w:hint="eastAsia" w:ascii="宋体" w:hAnsi="宋体"/>
          <w:sz w:val="32"/>
          <w:szCs w:val="32"/>
        </w:rPr>
        <w:br w:type="page" w:clear="all"/>
      </w:r>
      <w:r>
        <w:rPr>
          <w:rFonts w:ascii="宋体" w:hAnsi="宋体"/>
          <w:sz w:val="32"/>
          <w:szCs w:val="32"/>
        </w:rPr>
      </w:r>
      <w:r/>
    </w:p>
    <w:p>
      <w:pPr>
        <w:pStyle w:val="743"/>
        <w:spacing w:line="761" w:lineRule="atLeast"/>
        <w:rPr>
          <w:rFonts w:ascii="宋体" w:hAnsi="宋体" w:eastAsia="宋体"/>
          <w:sz w:val="32"/>
        </w:rPr>
        <w:pBdr>
          <w:top w:val="none" w:color="000000" w:sz="0" w:space="0"/>
          <w:left w:val="none" w:color="000000" w:sz="0" w:space="0"/>
          <w:bottom w:val="none" w:color="000000" w:sz="0" w:space="0"/>
          <w:right w:val="none" w:color="000000" w:sz="0" w:space="0"/>
        </w:pBdr>
      </w:pPr>
      <w:r/>
      <w:bookmarkStart w:id="73" w:name="_Toc191970199"/>
      <w:r>
        <w:rPr>
          <w:rFonts w:hint="eastAsia" w:ascii="宋体" w:hAnsi="宋体" w:eastAsia="宋体"/>
          <w:sz w:val="32"/>
        </w:rPr>
        <w:t xml:space="preserve">五、投标产品配置及分项报价表</w:t>
      </w:r>
      <w:bookmarkEnd w:id="73"/>
      <w:r>
        <w:rPr>
          <w:rFonts w:ascii="宋体" w:hAnsi="宋体" w:eastAsia="宋体"/>
          <w:sz w:val="32"/>
        </w:rPr>
      </w:r>
      <w:r/>
    </w:p>
    <w:tbl>
      <w:tblPr>
        <w:tblW w:w="88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383"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810"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335"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95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1620"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r>
      <w:tr>
        <w:trPr>
          <w:cantSplit/>
          <w:trHeight w:val="294"/>
        </w:trPr>
        <w:tc>
          <w:tcPr>
            <w:tcW w:w="2770"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产品名称及规格、型号</w:t>
            </w:r>
            <w:r>
              <w:rPr>
                <w:rFonts w:ascii="宋体" w:hAnsi="宋体"/>
                <w:szCs w:val="21"/>
              </w:rPr>
            </w:r>
            <w:r/>
          </w:p>
        </w:tc>
        <w:tc>
          <w:tcPr>
            <w:tcW w:w="1383"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810"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产地</w:t>
            </w:r>
            <w:r>
              <w:rPr>
                <w:rFonts w:ascii="宋体" w:hAnsi="宋体"/>
                <w:szCs w:val="21"/>
              </w:rPr>
            </w:r>
            <w:r/>
          </w:p>
        </w:tc>
        <w:tc>
          <w:tcPr>
            <w:tcW w:w="1335"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交付期</w:t>
            </w:r>
            <w:r>
              <w:rPr>
                <w:rFonts w:ascii="宋体" w:hAnsi="宋体"/>
                <w:szCs w:val="21"/>
              </w:rPr>
            </w:r>
            <w:r/>
          </w:p>
        </w:tc>
        <w:tc>
          <w:tcPr>
            <w:tcW w:w="956"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单价</w:t>
            </w:r>
            <w:r>
              <w:rPr>
                <w:rFonts w:ascii="宋体" w:hAnsi="宋体"/>
                <w:szCs w:val="21"/>
              </w:rPr>
            </w:r>
            <w:r/>
          </w:p>
        </w:tc>
        <w:tc>
          <w:tcPr>
            <w:tcW w:w="1620"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924"/>
        </w:trPr>
        <w:tc>
          <w:tcPr>
            <w:tcW w:w="277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741"/>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741"/>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合计</w:t>
            </w:r>
            <w:r>
              <w:rPr>
                <w:rFonts w:ascii="宋体" w:hAnsi="宋体"/>
                <w:szCs w:val="21"/>
              </w:rPr>
            </w:r>
            <w:r/>
          </w:p>
        </w:tc>
        <w:tc>
          <w:tcPr>
            <w:gridSpan w:val="5"/>
            <w:tcW w:w="6104" w:type="dxa"/>
            <w:vAlign w:val="top"/>
            <w:textDirection w:val="lrTb"/>
            <w:noWrap w:val="false"/>
          </w:tcPr>
          <w:p>
            <w:pPr>
              <w:pStyle w:val="741"/>
              <w:spacing w:line="360" w:lineRule="auto"/>
              <w:rPr>
                <w:rFonts w:ascii="宋体" w:hAnsi="宋体"/>
                <w:szCs w:val="21"/>
              </w:rPr>
            </w:pPr>
            <w:r>
              <w:rPr>
                <w:rFonts w:hint="eastAsia" w:ascii="宋体" w:hAnsi="宋体"/>
                <w:szCs w:val="21"/>
              </w:rPr>
              <w:t xml:space="preserve"> </w:t>
            </w:r>
            <w:r>
              <w:rPr>
                <w:rFonts w:ascii="宋体" w:hAnsi="宋体"/>
                <w:szCs w:val="21"/>
              </w:rPr>
            </w:r>
            <w:r/>
          </w:p>
        </w:tc>
      </w:tr>
    </w:tbl>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1"/>
        <w:jc w:val="left"/>
        <w:spacing w:line="360" w:lineRule="auto"/>
        <w:widowControl/>
        <w:rPr>
          <w:rFonts w:ascii="宋体" w:hAnsi="宋体" w:cs="Arial"/>
          <w:b/>
          <w:bCs/>
        </w:rPr>
      </w:pPr>
      <w:r>
        <w:rPr>
          <w:rFonts w:ascii="宋体" w:hAnsi="宋体" w:cs="Arial"/>
          <w:b/>
          <w:bCs/>
        </w:rPr>
      </w:r>
      <w:r/>
    </w:p>
    <w:p>
      <w:pPr>
        <w:pStyle w:val="743"/>
        <w:spacing w:line="360" w:lineRule="auto"/>
        <w:rPr>
          <w:rFonts w:ascii="宋体" w:hAnsi="宋体" w:eastAsia="宋体"/>
          <w:sz w:val="32"/>
        </w:rPr>
      </w:pPr>
      <w:r/>
      <w:bookmarkStart w:id="74" w:name="_Toc191970200"/>
      <w:r>
        <w:rPr>
          <w:rFonts w:hint="eastAsia" w:ascii="宋体" w:hAnsi="宋体" w:eastAsia="宋体"/>
          <w:sz w:val="32"/>
        </w:rPr>
        <w:t xml:space="preserve">六、技术参数响应及偏离表</w:t>
      </w:r>
      <w:bookmarkEnd w:id="74"/>
      <w:r>
        <w:rPr>
          <w:rFonts w:ascii="宋体" w:hAnsi="宋体" w:eastAsia="宋体"/>
          <w:sz w:val="32"/>
        </w:rPr>
      </w:r>
      <w:r/>
    </w:p>
    <w:tbl>
      <w:tblPr>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741"/>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741"/>
              <w:jc w:val="center"/>
              <w:spacing w:line="360" w:lineRule="auto"/>
              <w:rPr>
                <w:rFonts w:ascii="宋体" w:hAnsi="宋体"/>
                <w:szCs w:val="21"/>
              </w:rPr>
            </w:pPr>
            <w:r>
              <w:rPr>
                <w:rFonts w:ascii="宋体" w:hAnsi="宋体"/>
                <w:szCs w:val="21"/>
              </w:rPr>
            </w:r>
            <w:r/>
          </w:p>
        </w:tc>
      </w:tr>
    </w:tbl>
    <w:p>
      <w:pPr>
        <w:pStyle w:val="741"/>
        <w:spacing w:line="360" w:lineRule="auto"/>
        <w:rPr>
          <w:rFonts w:ascii="宋体" w:hAnsi="宋体"/>
          <w:sz w:val="24"/>
          <w:szCs w:val="24"/>
        </w:rPr>
      </w:pPr>
      <w:r>
        <w:rPr>
          <w:rFonts w:ascii="宋体" w:hAnsi="宋体"/>
          <w:sz w:val="24"/>
          <w:szCs w:val="24"/>
        </w:rPr>
      </w:r>
      <w:r/>
    </w:p>
    <w:p>
      <w:pPr>
        <w:pStyle w:val="741"/>
        <w:spacing w:line="360" w:lineRule="auto"/>
        <w:rPr>
          <w:rFonts w:ascii="宋体" w:hAnsi="宋体"/>
          <w:sz w:val="24"/>
          <w:szCs w:val="24"/>
        </w:rPr>
      </w:pPr>
      <w:r>
        <w:rPr>
          <w:rFonts w:hint="eastAsia" w:ascii="宋体" w:hAnsi="宋体"/>
          <w:sz w:val="24"/>
          <w:szCs w:val="24"/>
        </w:rPr>
        <w:t xml:space="preserve">注：1、按照基本技术要求详细填列。</w:t>
      </w:r>
      <w:r>
        <w:rPr>
          <w:rFonts w:ascii="宋体" w:hAnsi="宋体"/>
          <w:sz w:val="24"/>
          <w:szCs w:val="24"/>
        </w:rPr>
      </w:r>
      <w:r/>
    </w:p>
    <w:p>
      <w:pPr>
        <w:pStyle w:val="741"/>
        <w:ind w:firstLine="480"/>
        <w:spacing w:line="360" w:lineRule="auto"/>
        <w:rPr>
          <w:rFonts w:ascii="宋体" w:hAnsi="宋体"/>
          <w:sz w:val="24"/>
          <w:szCs w:val="24"/>
        </w:rPr>
      </w:pPr>
      <w:r>
        <w:rPr>
          <w:rFonts w:hint="eastAsia" w:ascii="宋体" w:hAnsi="宋体"/>
          <w:sz w:val="24"/>
          <w:szCs w:val="24"/>
        </w:rPr>
        <w:t xml:space="preserve">2、行数不够，可自行添加。</w:t>
      </w:r>
      <w:r>
        <w:rPr>
          <w:rFonts w:ascii="宋体" w:hAnsi="宋体"/>
          <w:sz w:val="24"/>
          <w:szCs w:val="24"/>
        </w:rPr>
      </w:r>
      <w:r/>
    </w:p>
    <w:p>
      <w:pPr>
        <w:pStyle w:val="741"/>
        <w:jc w:val="center"/>
        <w:spacing w:line="360" w:lineRule="auto"/>
        <w:rPr>
          <w:rFonts w:ascii="黑体" w:hAnsi="Arial" w:eastAsia="黑体"/>
          <w:b/>
          <w:sz w:val="36"/>
        </w:rPr>
      </w:pPr>
      <w:r>
        <w:rPr>
          <w:rFonts w:ascii="黑体" w:hAnsi="Arial" w:eastAsia="黑体"/>
          <w:b/>
          <w:sz w:val="36"/>
        </w:rPr>
      </w:r>
      <w:r/>
    </w:p>
    <w:p>
      <w:pPr>
        <w:pStyle w:val="741"/>
        <w:jc w:val="center"/>
        <w:spacing w:line="360" w:lineRule="auto"/>
        <w:rPr>
          <w:rFonts w:ascii="黑体" w:hAnsi="Arial" w:eastAsia="黑体"/>
          <w:b/>
          <w:sz w:val="36"/>
        </w:rPr>
      </w:pPr>
      <w:r>
        <w:rPr>
          <w:rFonts w:ascii="黑体" w:hAnsi="Arial" w:eastAsia="黑体"/>
          <w:b/>
          <w:sz w:val="36"/>
        </w:rPr>
      </w:r>
      <w:r/>
    </w:p>
    <w:p>
      <w:pPr>
        <w:pStyle w:val="741"/>
        <w:jc w:val="center"/>
        <w:spacing w:line="360" w:lineRule="auto"/>
        <w:rPr>
          <w:rFonts w:ascii="黑体" w:hAnsi="Arial" w:eastAsia="黑体"/>
          <w:b/>
          <w:sz w:val="36"/>
        </w:rPr>
      </w:pPr>
      <w:r>
        <w:rPr>
          <w:rFonts w:ascii="黑体" w:hAnsi="Arial" w:eastAsia="黑体"/>
          <w:b/>
          <w:sz w:val="36"/>
        </w:rPr>
      </w:r>
      <w:r/>
    </w:p>
    <w:p>
      <w:pPr>
        <w:pStyle w:val="741"/>
        <w:jc w:val="center"/>
        <w:spacing w:line="360" w:lineRule="auto"/>
        <w:rPr>
          <w:rFonts w:ascii="黑体" w:hAnsi="Arial" w:eastAsia="黑体"/>
          <w:b/>
          <w:sz w:val="36"/>
        </w:rPr>
      </w:pPr>
      <w:r>
        <w:rPr>
          <w:rFonts w:ascii="黑体" w:hAnsi="Arial" w:eastAsia="黑体"/>
          <w:b/>
          <w:sz w:val="36"/>
        </w:rPr>
      </w:r>
      <w:r/>
    </w:p>
    <w:p>
      <w:pPr>
        <w:pStyle w:val="741"/>
        <w:spacing w:line="360" w:lineRule="auto"/>
        <w:rPr>
          <w:rFonts w:ascii="黑体" w:hAnsi="Arial" w:eastAsia="黑体"/>
          <w:sz w:val="32"/>
        </w:rPr>
      </w:pPr>
      <w:r>
        <w:rPr>
          <w:rFonts w:ascii="黑体" w:hAnsi="Arial" w:eastAsia="黑体"/>
          <w:sz w:val="32"/>
        </w:rPr>
      </w:r>
      <w:r/>
    </w:p>
    <w:p>
      <w:pPr>
        <w:pStyle w:val="741"/>
        <w:spacing w:line="360" w:lineRule="auto"/>
        <w:rPr>
          <w:rFonts w:ascii="黑体" w:hAnsi="Arial" w:eastAsia="黑体"/>
          <w:sz w:val="32"/>
        </w:rPr>
      </w:pPr>
      <w:r>
        <w:rPr>
          <w:rFonts w:ascii="黑体" w:hAnsi="Arial" w:eastAsia="黑体"/>
          <w:sz w:val="32"/>
        </w:rPr>
      </w:r>
      <w:r/>
    </w:p>
    <w:p>
      <w:pPr>
        <w:pStyle w:val="741"/>
        <w:spacing w:line="360" w:lineRule="auto"/>
        <w:rPr>
          <w:rFonts w:ascii="黑体" w:hAnsi="Arial" w:eastAsia="黑体"/>
          <w:sz w:val="32"/>
        </w:rPr>
      </w:pPr>
      <w:r>
        <w:rPr>
          <w:rFonts w:hint="eastAsia" w:ascii="黑体" w:hAnsi="Arial" w:eastAsia="黑体"/>
          <w:sz w:val="32"/>
        </w:rPr>
        <w:br w:type="page" w:clear="all"/>
      </w:r>
      <w:r>
        <w:rPr>
          <w:rFonts w:ascii="黑体" w:hAnsi="Arial" w:eastAsia="黑体"/>
          <w:sz w:val="32"/>
        </w:rPr>
      </w:r>
      <w:r/>
    </w:p>
    <w:p>
      <w:pPr>
        <w:pStyle w:val="743"/>
        <w:spacing w:line="360" w:lineRule="auto"/>
        <w:rPr>
          <w:rFonts w:ascii="宋体" w:hAnsi="宋体" w:eastAsia="宋体"/>
          <w:sz w:val="32"/>
        </w:rPr>
      </w:pPr>
      <w:r/>
      <w:bookmarkStart w:id="75" w:name="_Hlt26955054"/>
      <w:r/>
      <w:bookmarkEnd w:id="75"/>
      <w:r/>
      <w:bookmarkStart w:id="76" w:name="_Toc191970201"/>
      <w:r>
        <w:rPr>
          <w:rFonts w:hint="eastAsia" w:ascii="宋体" w:hAnsi="宋体" w:eastAsia="宋体"/>
          <w:sz w:val="32"/>
        </w:rPr>
        <w:t xml:space="preserve">七、商务条款响应及偏离表</w:t>
      </w:r>
      <w:bookmarkEnd w:id="76"/>
      <w:r>
        <w:rPr>
          <w:rFonts w:ascii="宋体" w:hAnsi="宋体" w:eastAsia="宋体"/>
          <w:sz w:val="32"/>
        </w:rPr>
      </w:r>
      <w:r/>
    </w:p>
    <w:tbl>
      <w:tblPr>
        <w:tblW w:w="859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W w:w="1638" w:type="dxa"/>
            <w:vAlign w:val="top"/>
            <w:textDirection w:val="lrTb"/>
            <w:noWrap w:val="false"/>
          </w:tcPr>
          <w:p>
            <w:pPr>
              <w:pStyle w:val="741"/>
              <w:jc w:val="center"/>
              <w:spacing w:line="360" w:lineRule="auto"/>
              <w:rPr>
                <w:rFonts w:ascii="仿宋_GB2312" w:hAnsi="宋体" w:eastAsia="仿宋_GB2312"/>
                <w:szCs w:val="21"/>
              </w:rPr>
            </w:pPr>
            <w:r/>
            <w:bookmarkStart w:id="77" w:name="_Hlt26671372"/>
            <w:r/>
            <w:bookmarkEnd w:id="77"/>
            <w:r/>
            <w:bookmarkStart w:id="78" w:name="_Hlt26580838"/>
            <w:r/>
            <w:bookmarkEnd w:id="78"/>
            <w:r/>
            <w:bookmarkStart w:id="79" w:name="_Hlt26609391"/>
            <w:r/>
            <w:bookmarkEnd w:id="79"/>
            <w:r/>
            <w:bookmarkStart w:id="80" w:name="_Hlt24879081"/>
            <w:r/>
            <w:bookmarkEnd w:id="80"/>
            <w:r/>
            <w:bookmarkStart w:id="81" w:name="_Hlt26782999"/>
            <w:r/>
            <w:bookmarkEnd w:id="81"/>
            <w:r/>
            <w:bookmarkStart w:id="82" w:name="_Hlt26955064"/>
            <w:r/>
            <w:bookmarkEnd w:id="82"/>
            <w:r/>
            <w:bookmarkStart w:id="83" w:name="_Hlt26671343"/>
            <w:r/>
            <w:bookmarkEnd w:id="83"/>
            <w:r/>
            <w:bookmarkStart w:id="84" w:name="_Hlt26955056"/>
            <w:r/>
            <w:bookmarkEnd w:id="84"/>
            <w:r>
              <w:rPr>
                <w:rFonts w:hint="eastAsia" w:ascii="仿宋_GB2312" w:hAnsi="宋体"/>
                <w:szCs w:val="21"/>
              </w:rPr>
              <w:t xml:space="preserve">项目</w:t>
            </w:r>
            <w:r>
              <w:rPr>
                <w:rFonts w:ascii="仿宋_GB2312" w:hAnsi="宋体" w:eastAsia="仿宋_GB2312"/>
                <w:szCs w:val="21"/>
              </w:rPr>
            </w:r>
            <w:r/>
          </w:p>
        </w:tc>
        <w:tc>
          <w:tcPr>
            <w:tcW w:w="2502" w:type="dxa"/>
            <w:vAlign w:val="top"/>
            <w:textDirection w:val="lrTb"/>
            <w:noWrap w:val="false"/>
          </w:tcPr>
          <w:p>
            <w:pPr>
              <w:pStyle w:val="741"/>
              <w:jc w:val="center"/>
              <w:spacing w:line="360" w:lineRule="auto"/>
              <w:rPr>
                <w:rFonts w:ascii="仿宋_GB2312" w:hAnsi="宋体" w:eastAsia="仿宋_GB2312"/>
                <w:szCs w:val="21"/>
              </w:rPr>
            </w:pPr>
            <w:r>
              <w:rPr>
                <w:rFonts w:hint="eastAsia" w:ascii="仿宋_GB2312" w:hAnsi="宋体"/>
                <w:szCs w:val="21"/>
              </w:rPr>
              <w:t xml:space="preserve">招标文件要求</w:t>
            </w:r>
            <w:r>
              <w:rPr>
                <w:rFonts w:ascii="仿宋_GB2312" w:hAnsi="宋体" w:eastAsia="仿宋_GB2312"/>
                <w:szCs w:val="21"/>
              </w:rPr>
            </w:r>
            <w:r/>
          </w:p>
        </w:tc>
        <w:tc>
          <w:tcPr>
            <w:tcW w:w="1837" w:type="dxa"/>
            <w:vAlign w:val="top"/>
            <w:textDirection w:val="lrTb"/>
            <w:noWrap w:val="false"/>
          </w:tcPr>
          <w:p>
            <w:pPr>
              <w:pStyle w:val="741"/>
              <w:jc w:val="center"/>
              <w:spacing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614" w:type="dxa"/>
            <w:vAlign w:val="top"/>
            <w:textDirection w:val="lrTb"/>
            <w:noWrap w:val="false"/>
          </w:tcPr>
          <w:p>
            <w:pPr>
              <w:pStyle w:val="741"/>
              <w:jc w:val="center"/>
              <w:spacing w:line="360" w:lineRule="auto"/>
              <w:rPr>
                <w:rFonts w:ascii="仿宋_GB2312" w:hAnsi="宋体" w:eastAsia="仿宋_GB2312"/>
                <w:szCs w:val="21"/>
              </w:rPr>
            </w:pPr>
            <w:r>
              <w:rPr>
                <w:rFonts w:hint="eastAsia" w:ascii="仿宋_GB2312" w:hAnsi="宋体"/>
                <w:szCs w:val="21"/>
              </w:rPr>
              <w:t xml:space="preserve">投标人的承诺或说明</w:t>
            </w:r>
            <w:r>
              <w:rPr>
                <w:rFonts w:ascii="仿宋_GB2312" w:hAnsi="宋体" w:eastAsia="仿宋_GB2312"/>
                <w:szCs w:val="21"/>
              </w:rPr>
            </w:r>
            <w:r/>
          </w:p>
        </w:tc>
      </w:tr>
      <w:tr>
        <w:trPr>
          <w:trHeight w:val="469"/>
        </w:trPr>
        <w:tc>
          <w:tcPr>
            <w:tcW w:w="1638" w:type="dxa"/>
            <w:vAlign w:val="top"/>
            <w:textDirection w:val="lrTb"/>
            <w:noWrap w:val="false"/>
          </w:tcPr>
          <w:p>
            <w:pPr>
              <w:pStyle w:val="741"/>
              <w:jc w:val="center"/>
              <w:spacing w:line="360" w:lineRule="auto"/>
              <w:rPr>
                <w:rFonts w:ascii="仿宋_GB2312" w:hAnsi="宋体" w:eastAsia="仿宋_GB2312"/>
                <w:szCs w:val="21"/>
              </w:rPr>
            </w:pPr>
            <w:r>
              <w:rPr>
                <w:rFonts w:hint="eastAsia" w:ascii="仿宋_GB2312" w:hAnsi="宋体"/>
                <w:szCs w:val="21"/>
              </w:rPr>
              <w:t xml:space="preserve">质保期</w:t>
            </w:r>
            <w:r>
              <w:rPr>
                <w:rFonts w:ascii="仿宋_GB2312" w:hAnsi="宋体" w:eastAsia="仿宋_GB2312"/>
                <w:szCs w:val="21"/>
              </w:rPr>
            </w:r>
            <w:r/>
          </w:p>
        </w:tc>
        <w:tc>
          <w:tcPr>
            <w:tcW w:w="2502" w:type="dxa"/>
            <w:vAlign w:val="top"/>
            <w:textDirection w:val="lrTb"/>
            <w:noWrap w:val="false"/>
          </w:tcPr>
          <w:p>
            <w:pPr>
              <w:pStyle w:val="741"/>
              <w:jc w:val="center"/>
              <w:spacing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741"/>
              <w:jc w:val="center"/>
              <w:spacing w:line="360" w:lineRule="auto"/>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741"/>
              <w:jc w:val="center"/>
              <w:spacing w:line="360" w:lineRule="auto"/>
              <w:rPr>
                <w:rFonts w:ascii="仿宋_GB2312" w:hAnsi="宋体" w:eastAsia="仿宋_GB2312"/>
                <w:szCs w:val="21"/>
              </w:rPr>
            </w:pPr>
            <w:r>
              <w:rPr>
                <w:rFonts w:ascii="仿宋_GB2312" w:hAnsi="宋体" w:eastAsia="仿宋_GB2312"/>
                <w:szCs w:val="21"/>
              </w:rPr>
            </w:r>
            <w:r/>
          </w:p>
        </w:tc>
      </w:tr>
      <w:tr>
        <w:trPr>
          <w:trHeight w:val="719"/>
        </w:trPr>
        <w:tc>
          <w:tcPr>
            <w:tcW w:w="1638" w:type="dxa"/>
            <w:vAlign w:val="top"/>
            <w:textDirection w:val="lrTb"/>
            <w:noWrap w:val="false"/>
          </w:tcPr>
          <w:p>
            <w:pPr>
              <w:pStyle w:val="741"/>
              <w:jc w:val="center"/>
              <w:spacing w:line="360" w:lineRule="auto"/>
              <w:rPr>
                <w:rFonts w:ascii="仿宋_GB2312" w:hAnsi="宋体" w:eastAsia="仿宋_GB2312"/>
                <w:szCs w:val="21"/>
              </w:rPr>
            </w:pPr>
            <w:r>
              <w:rPr>
                <w:rFonts w:hint="eastAsia" w:ascii="仿宋_GB2312"/>
                <w:szCs w:val="21"/>
              </w:rPr>
              <w:t xml:space="preserve">售后技术服务要求</w:t>
            </w:r>
            <w:r>
              <w:rPr>
                <w:rFonts w:ascii="仿宋_GB2312" w:hAnsi="宋体" w:eastAsia="仿宋_GB2312"/>
                <w:szCs w:val="21"/>
              </w:rPr>
            </w:r>
            <w:r/>
          </w:p>
        </w:tc>
        <w:tc>
          <w:tcPr>
            <w:tcW w:w="2502" w:type="dxa"/>
            <w:vAlign w:val="top"/>
            <w:textDirection w:val="lrTb"/>
            <w:noWrap w:val="false"/>
          </w:tcPr>
          <w:p>
            <w:pPr>
              <w:pStyle w:val="741"/>
              <w:jc w:val="center"/>
              <w:spacing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741"/>
              <w:jc w:val="center"/>
              <w:spacing w:line="360" w:lineRule="auto"/>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741"/>
              <w:jc w:val="center"/>
              <w:spacing w:line="360" w:lineRule="auto"/>
              <w:rPr>
                <w:rFonts w:ascii="仿宋_GB2312" w:hAnsi="宋体" w:eastAsia="仿宋_GB2312"/>
                <w:szCs w:val="21"/>
              </w:rPr>
            </w:pPr>
            <w:r>
              <w:rPr>
                <w:rFonts w:ascii="仿宋_GB2312" w:hAnsi="宋体" w:eastAsia="仿宋_GB2312"/>
                <w:szCs w:val="21"/>
              </w:rPr>
            </w:r>
            <w:r/>
          </w:p>
        </w:tc>
      </w:tr>
      <w:tr>
        <w:trPr>
          <w:trHeight w:val="540"/>
        </w:trPr>
        <w:tc>
          <w:tcPr>
            <w:tcW w:w="1638" w:type="dxa"/>
            <w:vAlign w:val="top"/>
            <w:textDirection w:val="lrTb"/>
            <w:noWrap w:val="false"/>
          </w:tcPr>
          <w:p>
            <w:pPr>
              <w:pStyle w:val="741"/>
              <w:jc w:val="center"/>
              <w:spacing w:line="360" w:lineRule="auto"/>
              <w:rPr>
                <w:rFonts w:ascii="仿宋_GB2312" w:hAnsi="宋体" w:eastAsia="仿宋_GB2312"/>
                <w:szCs w:val="21"/>
              </w:rPr>
            </w:pPr>
            <w:r>
              <w:rPr>
                <w:rFonts w:hint="eastAsia" w:ascii="仿宋_GB2312"/>
                <w:szCs w:val="21"/>
              </w:rPr>
              <w:t xml:space="preserve">交付时间</w:t>
            </w:r>
            <w:r>
              <w:rPr>
                <w:rFonts w:ascii="仿宋_GB2312" w:hAnsi="宋体" w:eastAsia="仿宋_GB2312"/>
                <w:szCs w:val="21"/>
              </w:rPr>
            </w:r>
            <w:r/>
          </w:p>
        </w:tc>
        <w:tc>
          <w:tcPr>
            <w:tcW w:w="2502" w:type="dxa"/>
            <w:vAlign w:val="top"/>
            <w:textDirection w:val="lrTb"/>
            <w:noWrap w:val="false"/>
          </w:tcPr>
          <w:p>
            <w:pPr>
              <w:pStyle w:val="741"/>
              <w:jc w:val="center"/>
              <w:spacing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741"/>
              <w:ind w:left="43"/>
              <w:jc w:val="center"/>
              <w:spacing w:line="360" w:lineRule="auto"/>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741"/>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pStyle w:val="741"/>
              <w:jc w:val="center"/>
              <w:spacing w:line="360" w:lineRule="auto"/>
              <w:rPr>
                <w:rFonts w:ascii="仿宋_GB2312"/>
                <w:szCs w:val="21"/>
              </w:rPr>
            </w:pPr>
            <w:r>
              <w:rPr>
                <w:rFonts w:hint="eastAsia" w:ascii="仿宋_GB2312"/>
                <w:szCs w:val="21"/>
              </w:rPr>
              <w:t xml:space="preserve">交货方式</w:t>
            </w:r>
            <w:r>
              <w:rPr>
                <w:rFonts w:ascii="仿宋_GB2312"/>
                <w:szCs w:val="21"/>
              </w:rPr>
            </w:r>
            <w:r/>
          </w:p>
        </w:tc>
        <w:tc>
          <w:tcPr>
            <w:tcW w:w="2502" w:type="dxa"/>
            <w:vAlign w:val="top"/>
            <w:textDirection w:val="lrTb"/>
            <w:noWrap w:val="false"/>
          </w:tcPr>
          <w:p>
            <w:pPr>
              <w:pStyle w:val="741"/>
              <w:spacing w:line="360" w:lineRule="auto"/>
              <w:rPr>
                <w:rFonts w:ascii="仿宋_GB2312" w:hAnsi="宋体"/>
                <w:szCs w:val="21"/>
              </w:rPr>
            </w:pPr>
            <w:r>
              <w:rPr>
                <w:rFonts w:ascii="仿宋_GB2312" w:hAnsi="宋体"/>
                <w:szCs w:val="21"/>
              </w:rPr>
            </w:r>
            <w:r/>
          </w:p>
        </w:tc>
        <w:tc>
          <w:tcPr>
            <w:tcW w:w="1837" w:type="dxa"/>
            <w:vAlign w:val="top"/>
            <w:textDirection w:val="lrTb"/>
            <w:noWrap w:val="false"/>
          </w:tcPr>
          <w:p>
            <w:pPr>
              <w:pStyle w:val="741"/>
              <w:ind w:left="43"/>
              <w:jc w:val="center"/>
              <w:spacing w:line="360" w:lineRule="auto"/>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741"/>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pStyle w:val="741"/>
              <w:jc w:val="center"/>
              <w:spacing w:line="360" w:lineRule="auto"/>
              <w:rPr>
                <w:rFonts w:ascii="仿宋_GB2312"/>
                <w:szCs w:val="21"/>
              </w:rPr>
            </w:pPr>
            <w:r>
              <w:rPr>
                <w:rFonts w:hint="eastAsia" w:ascii="仿宋_GB2312"/>
                <w:szCs w:val="21"/>
              </w:rPr>
              <w:t xml:space="preserve">交货地点</w:t>
            </w:r>
            <w:r>
              <w:rPr>
                <w:rFonts w:ascii="仿宋_GB2312"/>
                <w:szCs w:val="21"/>
              </w:rPr>
            </w:r>
            <w:r/>
          </w:p>
        </w:tc>
        <w:tc>
          <w:tcPr>
            <w:tcW w:w="2502" w:type="dxa"/>
            <w:vAlign w:val="top"/>
            <w:textDirection w:val="lrTb"/>
            <w:noWrap w:val="false"/>
          </w:tcPr>
          <w:p>
            <w:pPr>
              <w:pStyle w:val="741"/>
              <w:spacing w:line="360" w:lineRule="auto"/>
              <w:rPr>
                <w:rFonts w:ascii="仿宋_GB2312" w:hAnsi="宋体"/>
                <w:szCs w:val="21"/>
              </w:rPr>
            </w:pPr>
            <w:r>
              <w:rPr>
                <w:rFonts w:ascii="仿宋_GB2312" w:hAnsi="宋体"/>
                <w:szCs w:val="21"/>
              </w:rPr>
            </w:r>
            <w:r/>
          </w:p>
        </w:tc>
        <w:tc>
          <w:tcPr>
            <w:tcW w:w="1837" w:type="dxa"/>
            <w:vAlign w:val="top"/>
            <w:textDirection w:val="lrTb"/>
            <w:noWrap w:val="false"/>
          </w:tcPr>
          <w:p>
            <w:pPr>
              <w:pStyle w:val="741"/>
              <w:ind w:left="43"/>
              <w:jc w:val="center"/>
              <w:spacing w:line="360" w:lineRule="auto"/>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741"/>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vAlign w:val="top"/>
            <w:textDirection w:val="lrTb"/>
            <w:noWrap w:val="false"/>
          </w:tcPr>
          <w:p>
            <w:pPr>
              <w:pStyle w:val="741"/>
              <w:jc w:val="center"/>
              <w:spacing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02" w:type="dxa"/>
            <w:vAlign w:val="top"/>
            <w:textDirection w:val="lrTb"/>
            <w:noWrap w:val="false"/>
          </w:tcPr>
          <w:p>
            <w:pPr>
              <w:pStyle w:val="741"/>
              <w:spacing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741"/>
              <w:jc w:val="center"/>
              <w:spacing w:line="360" w:lineRule="auto"/>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741"/>
              <w:jc w:val="center"/>
              <w:spacing w:line="360" w:lineRule="auto"/>
              <w:rPr>
                <w:rFonts w:ascii="仿宋_GB2312" w:hAnsi="宋体" w:eastAsia="仿宋_GB2312"/>
                <w:szCs w:val="21"/>
              </w:rPr>
            </w:pPr>
            <w:r>
              <w:rPr>
                <w:rFonts w:ascii="仿宋_GB2312" w:hAnsi="宋体" w:eastAsia="仿宋_GB2312"/>
                <w:szCs w:val="21"/>
              </w:rPr>
            </w:r>
            <w:r/>
          </w:p>
        </w:tc>
      </w:tr>
    </w:tbl>
    <w:p>
      <w:pPr>
        <w:pStyle w:val="741"/>
        <w:spacing w:line="360" w:lineRule="auto"/>
        <w:rPr>
          <w:rFonts w:ascii="宋体" w:hAnsi="宋体"/>
          <w:sz w:val="24"/>
        </w:rPr>
      </w:pPr>
      <w:r>
        <w:rPr>
          <w:rFonts w:ascii="宋体" w:hAnsi="宋体"/>
          <w:sz w:val="24"/>
        </w:rPr>
      </w:r>
      <w:r/>
    </w:p>
    <w:p>
      <w:pPr>
        <w:pStyle w:val="741"/>
        <w:spacing w:line="360" w:lineRule="auto"/>
        <w:rPr>
          <w:rFonts w:ascii="仿宋_GB2312" w:hAnsi="Arial"/>
          <w:sz w:val="30"/>
        </w:rPr>
      </w:pPr>
      <w:r>
        <w:rPr>
          <w:rFonts w:ascii="仿宋_GB2312" w:hAnsi="Arial"/>
          <w:sz w:val="30"/>
        </w:rPr>
      </w:r>
      <w:r/>
    </w:p>
    <w:p>
      <w:pPr>
        <w:pStyle w:val="762"/>
        <w:ind w:firstLine="480"/>
        <w:spacing w:line="360" w:lineRule="auto"/>
        <w:rPr>
          <w:rFonts w:ascii="宋体" w:hAnsi="宋体"/>
          <w:sz w:val="24"/>
        </w:rPr>
      </w:pPr>
      <w:r/>
      <w:bookmarkStart w:id="85" w:name="_Hlt26671374"/>
      <w:r/>
      <w:bookmarkEnd w:id="85"/>
      <w:r/>
      <w:bookmarkStart w:id="86" w:name="_Hlt26609389"/>
      <w:r/>
      <w:bookmarkEnd w:id="86"/>
      <w:r/>
      <w:bookmarkStart w:id="87" w:name="_Hlt26955066"/>
      <w:r/>
      <w:bookmarkEnd w:id="87"/>
      <w:r/>
      <w:bookmarkStart w:id="88" w:name="_Toc462564146"/>
      <w:r>
        <w:rPr>
          <w:rFonts w:ascii="宋体" w:hAnsi="宋体"/>
          <w:sz w:val="24"/>
        </w:rPr>
      </w:r>
      <w:r/>
    </w:p>
    <w:p>
      <w:pPr>
        <w:pStyle w:val="762"/>
        <w:ind w:firstLine="480"/>
        <w:spacing w:line="360" w:lineRule="auto"/>
        <w:rPr>
          <w:rFonts w:ascii="宋体" w:hAnsi="宋体"/>
          <w:sz w:val="24"/>
        </w:rPr>
      </w:pPr>
      <w:r>
        <w:rPr>
          <w:rFonts w:ascii="宋体" w:hAnsi="宋体"/>
          <w:sz w:val="24"/>
        </w:rPr>
      </w:r>
      <w:r/>
    </w:p>
    <w:p>
      <w:pPr>
        <w:pStyle w:val="762"/>
        <w:ind w:firstLine="480"/>
        <w:spacing w:line="360" w:lineRule="auto"/>
        <w:rPr>
          <w:rFonts w:ascii="宋体" w:hAnsi="宋体"/>
          <w:sz w:val="24"/>
        </w:rPr>
      </w:pPr>
      <w:r>
        <w:rPr>
          <w:rFonts w:ascii="宋体" w:hAnsi="宋体"/>
          <w:sz w:val="24"/>
        </w:rPr>
      </w:r>
      <w:r/>
    </w:p>
    <w:p>
      <w:pPr>
        <w:pStyle w:val="762"/>
        <w:ind w:firstLine="480"/>
        <w:spacing w:line="360" w:lineRule="auto"/>
        <w:rPr>
          <w:rFonts w:ascii="宋体" w:hAnsi="宋体"/>
          <w:sz w:val="24"/>
        </w:rPr>
      </w:pPr>
      <w:r>
        <w:rPr>
          <w:rFonts w:ascii="宋体" w:hAnsi="宋体"/>
          <w:sz w:val="24"/>
        </w:rPr>
      </w:r>
      <w:r/>
    </w:p>
    <w:p>
      <w:pPr>
        <w:pStyle w:val="762"/>
        <w:ind w:firstLine="480"/>
        <w:spacing w:line="360" w:lineRule="auto"/>
        <w:rPr>
          <w:rFonts w:ascii="宋体" w:hAnsi="宋体"/>
          <w:sz w:val="24"/>
        </w:rPr>
      </w:pPr>
      <w:r>
        <w:rPr>
          <w:rFonts w:hint="eastAsia" w:ascii="宋体" w:hAnsi="宋体"/>
          <w:sz w:val="24"/>
        </w:rPr>
        <w:t xml:space="preserve">.</w:t>
      </w:r>
      <w:r>
        <w:rPr>
          <w:rFonts w:ascii="宋体" w:hAnsi="宋体"/>
          <w:sz w:val="24"/>
        </w:rPr>
      </w:r>
      <w:r/>
    </w:p>
    <w:p>
      <w:pPr>
        <w:pStyle w:val="762"/>
        <w:ind w:firstLine="480"/>
        <w:spacing w:line="360" w:lineRule="auto"/>
        <w:rPr>
          <w:rFonts w:ascii="宋体" w:hAnsi="宋体"/>
          <w:sz w:val="24"/>
        </w:rPr>
      </w:pPr>
      <w:r>
        <w:rPr>
          <w:rFonts w:ascii="宋体" w:hAnsi="宋体"/>
          <w:sz w:val="24"/>
        </w:rPr>
      </w:r>
      <w:r/>
    </w:p>
    <w:p>
      <w:pPr>
        <w:pStyle w:val="762"/>
        <w:ind w:firstLine="480"/>
        <w:spacing w:line="360" w:lineRule="auto"/>
        <w:rPr>
          <w:rFonts w:ascii="宋体" w:hAnsi="宋体"/>
          <w:sz w:val="24"/>
        </w:rPr>
      </w:pPr>
      <w:r>
        <w:rPr>
          <w:rFonts w:ascii="宋体" w:hAnsi="宋体"/>
          <w:sz w:val="24"/>
        </w:rPr>
      </w:r>
      <w:r/>
    </w:p>
    <w:p>
      <w:pPr>
        <w:pStyle w:val="762"/>
        <w:ind w:firstLine="480"/>
        <w:spacing w:line="360" w:lineRule="auto"/>
        <w:rPr>
          <w:rFonts w:ascii="宋体" w:hAnsi="宋体"/>
          <w:sz w:val="24"/>
        </w:rPr>
      </w:pPr>
      <w:r>
        <w:rPr>
          <w:rFonts w:ascii="宋体" w:hAnsi="宋体"/>
          <w:sz w:val="24"/>
        </w:rPr>
      </w:r>
      <w:r/>
    </w:p>
    <w:p>
      <w:pPr>
        <w:pStyle w:val="762"/>
        <w:ind w:firstLine="480"/>
        <w:spacing w:line="360" w:lineRule="auto"/>
        <w:rPr>
          <w:rFonts w:ascii="宋体" w:hAnsi="宋体"/>
          <w:sz w:val="24"/>
        </w:rPr>
      </w:pPr>
      <w:r>
        <w:rPr>
          <w:rFonts w:ascii="宋体" w:hAnsi="宋体"/>
          <w:sz w:val="24"/>
        </w:rPr>
      </w:r>
      <w:r/>
    </w:p>
    <w:p>
      <w:pPr>
        <w:pStyle w:val="762"/>
        <w:ind w:firstLine="480"/>
        <w:spacing w:line="360" w:lineRule="auto"/>
        <w:rPr>
          <w:rFonts w:ascii="宋体" w:hAnsi="宋体"/>
          <w:sz w:val="24"/>
        </w:rPr>
      </w:pPr>
      <w:r>
        <w:rPr>
          <w:rFonts w:ascii="宋体" w:hAnsi="宋体"/>
          <w:sz w:val="24"/>
        </w:rPr>
      </w:r>
      <w:r/>
    </w:p>
    <w:p>
      <w:pPr>
        <w:pStyle w:val="762"/>
        <w:ind w:firstLine="480"/>
        <w:spacing w:line="360" w:lineRule="auto"/>
        <w:rPr>
          <w:rFonts w:ascii="宋体" w:hAnsi="宋体"/>
          <w:sz w:val="24"/>
        </w:rPr>
      </w:pPr>
      <w:r>
        <w:rPr>
          <w:rFonts w:ascii="宋体" w:hAnsi="宋体"/>
          <w:sz w:val="24"/>
        </w:rPr>
      </w:r>
      <w:r/>
    </w:p>
    <w:p>
      <w:pPr>
        <w:pStyle w:val="762"/>
        <w:ind w:firstLine="0"/>
        <w:spacing w:line="360" w:lineRule="auto"/>
        <w:rPr>
          <w:rFonts w:ascii="宋体" w:hAnsi="宋体"/>
          <w:sz w:val="24"/>
        </w:rPr>
      </w:pPr>
      <w:r>
        <w:rPr>
          <w:rFonts w:ascii="宋体" w:hAnsi="宋体"/>
          <w:sz w:val="24"/>
        </w:rPr>
      </w:r>
      <w:r/>
    </w:p>
    <w:p>
      <w:pPr>
        <w:pStyle w:val="762"/>
        <w:ind w:firstLine="480"/>
        <w:spacing w:line="360" w:lineRule="auto"/>
        <w:rPr>
          <w:rFonts w:ascii="宋体" w:hAnsi="宋体"/>
          <w:sz w:val="24"/>
        </w:rPr>
      </w:pPr>
      <w:r>
        <w:rPr>
          <w:rFonts w:ascii="宋体" w:hAnsi="宋体"/>
          <w:sz w:val="24"/>
        </w:rPr>
      </w:r>
      <w:r/>
    </w:p>
    <w:p>
      <w:pPr>
        <w:pStyle w:val="762"/>
        <w:ind w:left="0" w:firstLine="0"/>
        <w:spacing w:line="360" w:lineRule="auto"/>
        <w:rPr>
          <w:rFonts w:ascii="宋体" w:hAnsi="宋体"/>
          <w:sz w:val="24"/>
        </w:rPr>
      </w:pPr>
      <w:r>
        <w:rPr>
          <w:rFonts w:ascii="宋体" w:hAnsi="宋体"/>
          <w:sz w:val="24"/>
        </w:rPr>
      </w:r>
      <w:r/>
    </w:p>
    <w:p>
      <w:pPr>
        <w:pStyle w:val="741"/>
        <w:jc w:val="center"/>
        <w:spacing w:line="360" w:lineRule="auto"/>
        <w:widowControl/>
        <w:rPr>
          <w:rFonts w:ascii="宋体" w:hAnsi="宋体"/>
          <w:b/>
        </w:rPr>
      </w:pPr>
      <w:r/>
      <w:bookmarkEnd w:id="88"/>
      <w:r/>
      <w:bookmarkStart w:id="89" w:name="_格式2__法定代表人授权书"/>
      <w:r/>
      <w:bookmarkEnd w:id="89"/>
      <w:r>
        <w:rPr>
          <w:rFonts w:hint="eastAsia" w:ascii="宋体" w:hAnsi="宋体"/>
          <w:b/>
        </w:rPr>
        <w:t xml:space="preserve">主要标的信息（中标后将公示）</w:t>
      </w:r>
      <w:r>
        <w:rPr>
          <w:rFonts w:ascii="宋体" w:hAnsi="宋体"/>
          <w:b/>
        </w:rPr>
      </w:r>
      <w:r/>
    </w:p>
    <w:p>
      <w:pPr>
        <w:pStyle w:val="741"/>
        <w:spacing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741"/>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741"/>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741"/>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741"/>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741"/>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741"/>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741"/>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741"/>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741"/>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741"/>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741"/>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741"/>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741"/>
        <w:jc w:val="left"/>
        <w:spacing w:line="360" w:lineRule="auto"/>
        <w:widowControl/>
        <w:rPr>
          <w:rFonts w:ascii="宋体" w:hAnsi="宋体" w:cs="宋体"/>
          <w:sz w:val="24"/>
          <w:szCs w:val="24"/>
        </w:rPr>
      </w:pPr>
      <w:r>
        <w:rPr>
          <w:rFonts w:ascii="宋体" w:hAnsi="宋体" w:cs="宋体"/>
          <w:sz w:val="24"/>
          <w:szCs w:val="24"/>
        </w:rPr>
        <w:br w:type="page" w:clear="all"/>
      </w:r>
      <w:r>
        <w:rPr>
          <w:rFonts w:ascii="宋体" w:hAnsi="宋体" w:cs="宋体"/>
          <w:sz w:val="24"/>
          <w:szCs w:val="24"/>
        </w:rPr>
      </w:r>
      <w:r/>
    </w:p>
    <w:p>
      <w:pPr>
        <w:pStyle w:val="741"/>
        <w:ind w:firstLine="211"/>
        <w:jc w:val="center"/>
        <w:spacing w:line="360" w:lineRule="auto"/>
        <w:rPr>
          <w:rFonts w:ascii="宋体" w:hAnsi="宋体"/>
          <w:b/>
        </w:rPr>
      </w:pPr>
      <w:r>
        <w:rPr>
          <w:rFonts w:hint="eastAsia" w:ascii="宋体" w:hAnsi="宋体"/>
          <w:b/>
        </w:rPr>
        <w:t xml:space="preserve">联合体协议（如有）</w:t>
      </w:r>
      <w:r>
        <w:rPr>
          <w:rFonts w:ascii="宋体" w:hAnsi="宋体"/>
          <w:b/>
        </w:rPr>
      </w:r>
      <w:r/>
    </w:p>
    <w:p>
      <w:pPr>
        <w:pStyle w:val="741"/>
        <w:ind w:firstLine="211"/>
        <w:jc w:val="center"/>
        <w:spacing w:line="360" w:lineRule="auto"/>
        <w:rPr>
          <w:rFonts w:ascii="宋体" w:hAnsi="宋体"/>
          <w:b/>
        </w:rPr>
      </w:pPr>
      <w:r>
        <w:rPr>
          <w:rFonts w:ascii="宋体" w:hAnsi="宋体"/>
          <w:b/>
        </w:rPr>
      </w:r>
      <w:r/>
    </w:p>
    <w:p>
      <w:pPr>
        <w:pStyle w:val="741"/>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741"/>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rPr>
          <w:rFonts w:ascii="宋体" w:hAnsi="宋体"/>
        </w:rPr>
      </w:r>
      <w:r/>
    </w:p>
    <w:p>
      <w:pPr>
        <w:pStyle w:val="741"/>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741"/>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741"/>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741"/>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741"/>
        <w:ind w:firstLine="4620"/>
        <w:spacing w:line="360" w:lineRule="auto"/>
        <w:rPr>
          <w:rFonts w:ascii="宋体" w:hAnsi="宋体"/>
        </w:rPr>
      </w:pPr>
      <w:r>
        <w:rPr>
          <w:rFonts w:hint="eastAsia" w:ascii="宋体" w:hAnsi="宋体"/>
        </w:rPr>
        <w:t xml:space="preserve">日期：</w:t>
      </w:r>
      <w:r>
        <w:rPr>
          <w:rFonts w:ascii="宋体" w:hAnsi="宋体"/>
        </w:rPr>
      </w:r>
      <w:r/>
    </w:p>
    <w:p>
      <w:pPr>
        <w:pStyle w:val="741"/>
        <w:spacing w:line="360" w:lineRule="auto"/>
      </w:pPr>
      <w:r/>
      <w:r/>
    </w:p>
    <w:p>
      <w:pPr>
        <w:pStyle w:val="741"/>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pStyle w:val="741"/>
        <w:spacing w:line="360" w:lineRule="auto"/>
      </w:pPr>
      <w:r/>
      <w:r/>
    </w:p>
    <w:p>
      <w:pPr>
        <w:pStyle w:val="741"/>
        <w:spacing w:line="360" w:lineRule="auto"/>
      </w:pPr>
      <w:r/>
      <w:r/>
    </w:p>
    <w:p>
      <w:pPr>
        <w:pStyle w:val="741"/>
        <w:spacing w:line="360" w:lineRule="auto"/>
      </w:p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rPr>
        <w:lang w:val="zh-CN"/>
      </w:rPr>
      <w:fldChar w:fldCharType="end"/>
    </w:r>
    <w:r/>
  </w:p>
  <w:p>
    <w:pPr>
      <w:pStyle w:val="77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both"/>
      <w:tabs>
        <w:tab w:val="center" w:pos="4153" w:leader="none"/>
        <w:tab w:val="right" w:pos="8306" w:leader="none"/>
      </w:tabs>
    </w:pPr>
    <w:r/>
    <w:r/>
  </w:p>
  <w:p>
    <w:pPr>
      <w:pStyle w:val="777"/>
      <w:jc w:val="both"/>
      <w:tabs>
        <w:tab w:val="center" w:pos="4153" w:leader="none"/>
        <w:tab w:val="right" w:pos="8306" w:leader="none"/>
      </w:tabs>
    </w:pPr>
    <w:r>
      <w:rPr>
        <w:rFonts w:hint="eastAsia"/>
      </w:rPr>
      <w:t xml:space="preserve">JSZC-321000-HCZX-G2025-00</w:t>
    </w:r>
    <w:r>
      <w:rPr>
        <w:rFonts w:hint="eastAsia"/>
        <w:lang w:val="en-US" w:eastAsia="zh-CN"/>
      </w:rPr>
      <w:t xml:space="preserve">91</w:t>
    </w:r>
    <w:r>
      <w:rPr>
        <w:rFonts w:hint="eastAsia"/>
      </w:rPr>
      <w:t xml:space="preserve">                                     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w:rPr>
        <w:rFonts w:hint="eastAsia"/>
      </w:rPr>
      <w:t xml:space="preserve"> JSZC-321000-HCZX-G2025-00</w:t>
    </w:r>
    <w:r>
      <w:rPr>
        <w:rFonts w:hint="eastAsia"/>
        <w:lang w:val="en-US" w:eastAsia="zh-CN"/>
      </w:rPr>
      <w:t xml:space="preserve">91</w:t>
    </w:r>
    <w:r>
      <w:rPr>
        <w:rFonts w:hint="eastAsia"/>
      </w:rPr>
      <w:t xml:space="preserve">                                    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741"/>
      </w:pPr>
      <w:rPr>
        <w:rFonts w:hint="eastAsia"/>
      </w:rPr>
    </w:lvl>
    <w:lvl w:ilvl="1">
      <w:start w:val="1"/>
      <w:numFmt w:val="bullet"/>
      <w:isLgl w:val="false"/>
      <w:suff w:val="tab"/>
      <w:lvlText w:val="o"/>
      <w:lvlJc w:val="left"/>
      <w:pPr>
        <w:pStyle w:val="741"/>
        <w:ind w:left="1440" w:hanging="360"/>
      </w:pPr>
      <w:rPr>
        <w:rFonts w:ascii="Courier New" w:hAnsi="Courier New" w:eastAsia="Courier New" w:cs="Courier New"/>
      </w:rPr>
    </w:lvl>
    <w:lvl w:ilvl="2">
      <w:start w:val="1"/>
      <w:numFmt w:val="bullet"/>
      <w:isLgl w:val="false"/>
      <w:suff w:val="tab"/>
      <w:lvlText w:val="§"/>
      <w:lvlJc w:val="left"/>
      <w:pPr>
        <w:pStyle w:val="741"/>
        <w:ind w:left="2160" w:hanging="360"/>
      </w:pPr>
      <w:rPr>
        <w:rFonts w:ascii="Wingdings" w:hAnsi="Wingdings" w:eastAsia="Wingdings" w:cs="Wingdings"/>
      </w:rPr>
    </w:lvl>
    <w:lvl w:ilvl="3">
      <w:start w:val="1"/>
      <w:numFmt w:val="bullet"/>
      <w:isLgl w:val="false"/>
      <w:suff w:val="tab"/>
      <w:lvlText w:val="·"/>
      <w:lvlJc w:val="left"/>
      <w:pPr>
        <w:pStyle w:val="741"/>
        <w:ind w:left="2880" w:hanging="360"/>
      </w:pPr>
      <w:rPr>
        <w:rFonts w:ascii="Symbol" w:hAnsi="Symbol" w:eastAsia="Symbol" w:cs="Symbol"/>
      </w:rPr>
    </w:lvl>
    <w:lvl w:ilvl="4">
      <w:start w:val="1"/>
      <w:numFmt w:val="bullet"/>
      <w:isLgl w:val="false"/>
      <w:suff w:val="tab"/>
      <w:lvlText w:val="o"/>
      <w:lvlJc w:val="left"/>
      <w:pPr>
        <w:pStyle w:val="741"/>
        <w:ind w:left="3600" w:hanging="360"/>
      </w:pPr>
      <w:rPr>
        <w:rFonts w:ascii="Courier New" w:hAnsi="Courier New" w:eastAsia="Courier New" w:cs="Courier New"/>
      </w:rPr>
    </w:lvl>
    <w:lvl w:ilvl="5">
      <w:start w:val="1"/>
      <w:numFmt w:val="bullet"/>
      <w:isLgl w:val="false"/>
      <w:suff w:val="tab"/>
      <w:lvlText w:val="§"/>
      <w:lvlJc w:val="left"/>
      <w:pPr>
        <w:pStyle w:val="741"/>
        <w:ind w:left="4320" w:hanging="360"/>
      </w:pPr>
      <w:rPr>
        <w:rFonts w:ascii="Wingdings" w:hAnsi="Wingdings" w:eastAsia="Wingdings" w:cs="Wingdings"/>
      </w:rPr>
    </w:lvl>
    <w:lvl w:ilvl="6">
      <w:start w:val="1"/>
      <w:numFmt w:val="bullet"/>
      <w:isLgl w:val="false"/>
      <w:suff w:val="tab"/>
      <w:lvlText w:val="·"/>
      <w:lvlJc w:val="left"/>
      <w:pPr>
        <w:pStyle w:val="741"/>
        <w:ind w:left="5040" w:hanging="360"/>
      </w:pPr>
      <w:rPr>
        <w:rFonts w:ascii="Symbol" w:hAnsi="Symbol" w:eastAsia="Symbol" w:cs="Symbol"/>
      </w:rPr>
    </w:lvl>
    <w:lvl w:ilvl="7">
      <w:start w:val="1"/>
      <w:numFmt w:val="bullet"/>
      <w:isLgl w:val="false"/>
      <w:suff w:val="tab"/>
      <w:lvlText w:val="o"/>
      <w:lvlJc w:val="left"/>
      <w:pPr>
        <w:pStyle w:val="741"/>
        <w:ind w:left="5760" w:hanging="360"/>
      </w:pPr>
      <w:rPr>
        <w:rFonts w:ascii="Courier New" w:hAnsi="Courier New" w:eastAsia="Courier New" w:cs="Courier New"/>
      </w:rPr>
    </w:lvl>
    <w:lvl w:ilvl="8">
      <w:start w:val="1"/>
      <w:numFmt w:val="bullet"/>
      <w:isLgl w:val="false"/>
      <w:suff w:val="tab"/>
      <w:lvlText w:val="§"/>
      <w:lvlJc w:val="left"/>
      <w:pPr>
        <w:pStyle w:val="741"/>
        <w:ind w:left="6480" w:hanging="360"/>
      </w:pPr>
      <w:rPr>
        <w:rFonts w:ascii="Wingdings" w:hAnsi="Wingdings" w:eastAsia="Wingdings" w:cs="Wingdings"/>
      </w:rPr>
    </w:lvl>
  </w:abstractNum>
  <w:abstractNum w:abstractNumId="1">
    <w:multiLevelType w:val="hybridMultilevel"/>
    <w:lvl w:ilvl="0">
      <w:start w:val="32"/>
      <w:numFmt w:val="decimal"/>
      <w:isLgl w:val="false"/>
      <w:suff w:val="nothing"/>
      <w:lvlText w:val="%1、"/>
      <w:lvlJc w:val="left"/>
      <w:pPr>
        <w:pStyle w:val="741"/>
      </w:pPr>
    </w:lvl>
    <w:lvl w:ilvl="1">
      <w:start w:val="1"/>
      <w:numFmt w:val="bullet"/>
      <w:isLgl w:val="false"/>
      <w:suff w:val="tab"/>
      <w:lvlText w:val="o"/>
      <w:lvlJc w:val="left"/>
      <w:pPr>
        <w:pStyle w:val="741"/>
        <w:ind w:left="1440" w:hanging="360"/>
      </w:pPr>
      <w:rPr>
        <w:rFonts w:ascii="Courier New" w:hAnsi="Courier New" w:eastAsia="Courier New" w:cs="Courier New"/>
      </w:rPr>
    </w:lvl>
    <w:lvl w:ilvl="2">
      <w:start w:val="1"/>
      <w:numFmt w:val="bullet"/>
      <w:isLgl w:val="false"/>
      <w:suff w:val="tab"/>
      <w:lvlText w:val="§"/>
      <w:lvlJc w:val="left"/>
      <w:pPr>
        <w:pStyle w:val="741"/>
        <w:ind w:left="2160" w:hanging="360"/>
      </w:pPr>
      <w:rPr>
        <w:rFonts w:ascii="Wingdings" w:hAnsi="Wingdings" w:eastAsia="Wingdings" w:cs="Wingdings"/>
      </w:rPr>
    </w:lvl>
    <w:lvl w:ilvl="3">
      <w:start w:val="1"/>
      <w:numFmt w:val="bullet"/>
      <w:isLgl w:val="false"/>
      <w:suff w:val="tab"/>
      <w:lvlText w:val="·"/>
      <w:lvlJc w:val="left"/>
      <w:pPr>
        <w:pStyle w:val="741"/>
        <w:ind w:left="2880" w:hanging="360"/>
      </w:pPr>
      <w:rPr>
        <w:rFonts w:ascii="Symbol" w:hAnsi="Symbol" w:eastAsia="Symbol" w:cs="Symbol"/>
      </w:rPr>
    </w:lvl>
    <w:lvl w:ilvl="4">
      <w:start w:val="1"/>
      <w:numFmt w:val="bullet"/>
      <w:isLgl w:val="false"/>
      <w:suff w:val="tab"/>
      <w:lvlText w:val="o"/>
      <w:lvlJc w:val="left"/>
      <w:pPr>
        <w:pStyle w:val="741"/>
        <w:ind w:left="3600" w:hanging="360"/>
      </w:pPr>
      <w:rPr>
        <w:rFonts w:ascii="Courier New" w:hAnsi="Courier New" w:eastAsia="Courier New" w:cs="Courier New"/>
      </w:rPr>
    </w:lvl>
    <w:lvl w:ilvl="5">
      <w:start w:val="1"/>
      <w:numFmt w:val="bullet"/>
      <w:isLgl w:val="false"/>
      <w:suff w:val="tab"/>
      <w:lvlText w:val="§"/>
      <w:lvlJc w:val="left"/>
      <w:pPr>
        <w:pStyle w:val="741"/>
        <w:ind w:left="4320" w:hanging="360"/>
      </w:pPr>
      <w:rPr>
        <w:rFonts w:ascii="Wingdings" w:hAnsi="Wingdings" w:eastAsia="Wingdings" w:cs="Wingdings"/>
      </w:rPr>
    </w:lvl>
    <w:lvl w:ilvl="6">
      <w:start w:val="1"/>
      <w:numFmt w:val="bullet"/>
      <w:isLgl w:val="false"/>
      <w:suff w:val="tab"/>
      <w:lvlText w:val="·"/>
      <w:lvlJc w:val="left"/>
      <w:pPr>
        <w:pStyle w:val="741"/>
        <w:ind w:left="5040" w:hanging="360"/>
      </w:pPr>
      <w:rPr>
        <w:rFonts w:ascii="Symbol" w:hAnsi="Symbol" w:eastAsia="Symbol" w:cs="Symbol"/>
      </w:rPr>
    </w:lvl>
    <w:lvl w:ilvl="7">
      <w:start w:val="1"/>
      <w:numFmt w:val="bullet"/>
      <w:isLgl w:val="false"/>
      <w:suff w:val="tab"/>
      <w:lvlText w:val="o"/>
      <w:lvlJc w:val="left"/>
      <w:pPr>
        <w:pStyle w:val="741"/>
        <w:ind w:left="5760" w:hanging="360"/>
      </w:pPr>
      <w:rPr>
        <w:rFonts w:ascii="Courier New" w:hAnsi="Courier New" w:eastAsia="Courier New" w:cs="Courier New"/>
      </w:rPr>
    </w:lvl>
    <w:lvl w:ilvl="8">
      <w:start w:val="1"/>
      <w:numFmt w:val="bullet"/>
      <w:isLgl w:val="false"/>
      <w:suff w:val="tab"/>
      <w:lvlText w:val="§"/>
      <w:lvlJc w:val="left"/>
      <w:pPr>
        <w:pStyle w:val="741"/>
        <w:ind w:left="6480" w:hanging="360"/>
      </w:pPr>
      <w:rPr>
        <w:rFonts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741"/>
      </w:pPr>
      <w:rPr>
        <w:rFonts w:hint="eastAsia"/>
      </w:rPr>
    </w:lvl>
    <w:lvl w:ilvl="1">
      <w:start w:val="1"/>
      <w:numFmt w:val="bullet"/>
      <w:isLgl w:val="false"/>
      <w:suff w:val="tab"/>
      <w:lvlText w:val="o"/>
      <w:lvlJc w:val="left"/>
      <w:pPr>
        <w:pStyle w:val="741"/>
        <w:ind w:left="1440" w:hanging="360"/>
      </w:pPr>
      <w:rPr>
        <w:rFonts w:ascii="Courier New" w:hAnsi="Courier New" w:eastAsia="Courier New" w:cs="Courier New"/>
      </w:rPr>
    </w:lvl>
    <w:lvl w:ilvl="2">
      <w:start w:val="1"/>
      <w:numFmt w:val="bullet"/>
      <w:isLgl w:val="false"/>
      <w:suff w:val="tab"/>
      <w:lvlText w:val="§"/>
      <w:lvlJc w:val="left"/>
      <w:pPr>
        <w:pStyle w:val="741"/>
        <w:ind w:left="2160" w:hanging="360"/>
      </w:pPr>
      <w:rPr>
        <w:rFonts w:ascii="Wingdings" w:hAnsi="Wingdings" w:eastAsia="Wingdings" w:cs="Wingdings"/>
      </w:rPr>
    </w:lvl>
    <w:lvl w:ilvl="3">
      <w:start w:val="1"/>
      <w:numFmt w:val="bullet"/>
      <w:isLgl w:val="false"/>
      <w:suff w:val="tab"/>
      <w:lvlText w:val="·"/>
      <w:lvlJc w:val="left"/>
      <w:pPr>
        <w:pStyle w:val="741"/>
        <w:ind w:left="2880" w:hanging="360"/>
      </w:pPr>
      <w:rPr>
        <w:rFonts w:ascii="Symbol" w:hAnsi="Symbol" w:eastAsia="Symbol" w:cs="Symbol"/>
      </w:rPr>
    </w:lvl>
    <w:lvl w:ilvl="4">
      <w:start w:val="1"/>
      <w:numFmt w:val="bullet"/>
      <w:isLgl w:val="false"/>
      <w:suff w:val="tab"/>
      <w:lvlText w:val="o"/>
      <w:lvlJc w:val="left"/>
      <w:pPr>
        <w:pStyle w:val="741"/>
        <w:ind w:left="3600" w:hanging="360"/>
      </w:pPr>
      <w:rPr>
        <w:rFonts w:ascii="Courier New" w:hAnsi="Courier New" w:eastAsia="Courier New" w:cs="Courier New"/>
      </w:rPr>
    </w:lvl>
    <w:lvl w:ilvl="5">
      <w:start w:val="1"/>
      <w:numFmt w:val="bullet"/>
      <w:isLgl w:val="false"/>
      <w:suff w:val="tab"/>
      <w:lvlText w:val="§"/>
      <w:lvlJc w:val="left"/>
      <w:pPr>
        <w:pStyle w:val="741"/>
        <w:ind w:left="4320" w:hanging="360"/>
      </w:pPr>
      <w:rPr>
        <w:rFonts w:ascii="Wingdings" w:hAnsi="Wingdings" w:eastAsia="Wingdings" w:cs="Wingdings"/>
      </w:rPr>
    </w:lvl>
    <w:lvl w:ilvl="6">
      <w:start w:val="1"/>
      <w:numFmt w:val="bullet"/>
      <w:isLgl w:val="false"/>
      <w:suff w:val="tab"/>
      <w:lvlText w:val="·"/>
      <w:lvlJc w:val="left"/>
      <w:pPr>
        <w:pStyle w:val="741"/>
        <w:ind w:left="5040" w:hanging="360"/>
      </w:pPr>
      <w:rPr>
        <w:rFonts w:ascii="Symbol" w:hAnsi="Symbol" w:eastAsia="Symbol" w:cs="Symbol"/>
      </w:rPr>
    </w:lvl>
    <w:lvl w:ilvl="7">
      <w:start w:val="1"/>
      <w:numFmt w:val="bullet"/>
      <w:isLgl w:val="false"/>
      <w:suff w:val="tab"/>
      <w:lvlText w:val="o"/>
      <w:lvlJc w:val="left"/>
      <w:pPr>
        <w:pStyle w:val="741"/>
        <w:ind w:left="5760" w:hanging="360"/>
      </w:pPr>
      <w:rPr>
        <w:rFonts w:ascii="Courier New" w:hAnsi="Courier New" w:eastAsia="Courier New" w:cs="Courier New"/>
      </w:rPr>
    </w:lvl>
    <w:lvl w:ilvl="8">
      <w:start w:val="1"/>
      <w:numFmt w:val="bullet"/>
      <w:isLgl w:val="false"/>
      <w:suff w:val="tab"/>
      <w:lvlText w:val="§"/>
      <w:lvlJc w:val="left"/>
      <w:pPr>
        <w:pStyle w:val="741"/>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41"/>
        <w:ind w:left="425" w:hanging="425"/>
      </w:pPr>
    </w:lvl>
    <w:lvl w:ilvl="1">
      <w:start w:val="1"/>
      <w:numFmt w:val="bullet"/>
      <w:isLgl w:val="false"/>
      <w:suff w:val="tab"/>
      <w:lvlText w:val="o"/>
      <w:lvlJc w:val="left"/>
      <w:pPr>
        <w:pStyle w:val="741"/>
        <w:ind w:left="1440" w:hanging="360"/>
      </w:pPr>
      <w:rPr>
        <w:rFonts w:ascii="Courier New" w:hAnsi="Courier New" w:eastAsia="Courier New" w:cs="Courier New"/>
      </w:rPr>
    </w:lvl>
    <w:lvl w:ilvl="2">
      <w:start w:val="1"/>
      <w:numFmt w:val="bullet"/>
      <w:isLgl w:val="false"/>
      <w:suff w:val="tab"/>
      <w:lvlText w:val="§"/>
      <w:lvlJc w:val="left"/>
      <w:pPr>
        <w:pStyle w:val="741"/>
        <w:ind w:left="2160" w:hanging="360"/>
      </w:pPr>
      <w:rPr>
        <w:rFonts w:ascii="Wingdings" w:hAnsi="Wingdings" w:eastAsia="Wingdings" w:cs="Wingdings"/>
      </w:rPr>
    </w:lvl>
    <w:lvl w:ilvl="3">
      <w:start w:val="1"/>
      <w:numFmt w:val="bullet"/>
      <w:isLgl w:val="false"/>
      <w:suff w:val="tab"/>
      <w:lvlText w:val="·"/>
      <w:lvlJc w:val="left"/>
      <w:pPr>
        <w:pStyle w:val="741"/>
        <w:ind w:left="2880" w:hanging="360"/>
      </w:pPr>
      <w:rPr>
        <w:rFonts w:ascii="Symbol" w:hAnsi="Symbol" w:eastAsia="Symbol" w:cs="Symbol"/>
      </w:rPr>
    </w:lvl>
    <w:lvl w:ilvl="4">
      <w:start w:val="1"/>
      <w:numFmt w:val="bullet"/>
      <w:isLgl w:val="false"/>
      <w:suff w:val="tab"/>
      <w:lvlText w:val="o"/>
      <w:lvlJc w:val="left"/>
      <w:pPr>
        <w:pStyle w:val="741"/>
        <w:ind w:left="3600" w:hanging="360"/>
      </w:pPr>
      <w:rPr>
        <w:rFonts w:ascii="Courier New" w:hAnsi="Courier New" w:eastAsia="Courier New" w:cs="Courier New"/>
      </w:rPr>
    </w:lvl>
    <w:lvl w:ilvl="5">
      <w:start w:val="1"/>
      <w:numFmt w:val="bullet"/>
      <w:isLgl w:val="false"/>
      <w:suff w:val="tab"/>
      <w:lvlText w:val="§"/>
      <w:lvlJc w:val="left"/>
      <w:pPr>
        <w:pStyle w:val="741"/>
        <w:ind w:left="4320" w:hanging="360"/>
      </w:pPr>
      <w:rPr>
        <w:rFonts w:ascii="Wingdings" w:hAnsi="Wingdings" w:eastAsia="Wingdings" w:cs="Wingdings"/>
      </w:rPr>
    </w:lvl>
    <w:lvl w:ilvl="6">
      <w:start w:val="1"/>
      <w:numFmt w:val="bullet"/>
      <w:isLgl w:val="false"/>
      <w:suff w:val="tab"/>
      <w:lvlText w:val="·"/>
      <w:lvlJc w:val="left"/>
      <w:pPr>
        <w:pStyle w:val="741"/>
        <w:ind w:left="5040" w:hanging="360"/>
      </w:pPr>
      <w:rPr>
        <w:rFonts w:ascii="Symbol" w:hAnsi="Symbol" w:eastAsia="Symbol" w:cs="Symbol"/>
      </w:rPr>
    </w:lvl>
    <w:lvl w:ilvl="7">
      <w:start w:val="1"/>
      <w:numFmt w:val="bullet"/>
      <w:isLgl w:val="false"/>
      <w:suff w:val="tab"/>
      <w:lvlText w:val="o"/>
      <w:lvlJc w:val="left"/>
      <w:pPr>
        <w:pStyle w:val="741"/>
        <w:ind w:left="5760" w:hanging="360"/>
      </w:pPr>
      <w:rPr>
        <w:rFonts w:ascii="Courier New" w:hAnsi="Courier New" w:eastAsia="Courier New" w:cs="Courier New"/>
      </w:rPr>
    </w:lvl>
    <w:lvl w:ilvl="8">
      <w:start w:val="1"/>
      <w:numFmt w:val="bullet"/>
      <w:isLgl w:val="false"/>
      <w:suff w:val="tab"/>
      <w:lvlText w:val="§"/>
      <w:lvlJc w:val="left"/>
      <w:pPr>
        <w:pStyle w:val="741"/>
        <w:ind w:left="6480" w:hanging="360"/>
      </w:pPr>
      <w:rPr>
        <w:rFonts w:ascii="Wingdings" w:hAnsi="Wingdings" w:eastAsia="Wingdings" w:cs="Wingdings"/>
      </w:rPr>
    </w:lvl>
  </w:abstractNum>
  <w:abstractNum w:abstractNumId="4">
    <w:multiLevelType w:val="hybridMultilevel"/>
    <w:lvl w:ilvl="0">
      <w:start w:val="1"/>
      <w:numFmt w:val="bullet"/>
      <w:pStyle w:val="767"/>
      <w:isLgl w:val="false"/>
      <w:suff w:val="tab"/>
      <w:lvlText w:val=""/>
      <w:lvlJc w:val="left"/>
      <w:pPr>
        <w:pStyle w:val="741"/>
        <w:ind w:left="780" w:hanging="360"/>
        <w:tabs>
          <w:tab w:val="num" w:pos="780" w:leader="none"/>
        </w:tabs>
      </w:pPr>
      <w:rPr>
        <w:rFonts w:ascii="Wingdings" w:hAnsi="Wingdings"/>
      </w:rPr>
    </w:lvl>
    <w:lvl w:ilvl="1">
      <w:start w:val="1"/>
      <w:numFmt w:val="bullet"/>
      <w:isLgl w:val="false"/>
      <w:suff w:val="tab"/>
      <w:lvlText w:val="o"/>
      <w:lvlJc w:val="left"/>
      <w:pPr>
        <w:pStyle w:val="741"/>
        <w:ind w:left="1440" w:hanging="360"/>
      </w:pPr>
      <w:rPr>
        <w:rFonts w:ascii="Courier New" w:hAnsi="Courier New" w:eastAsia="Courier New" w:cs="Courier New"/>
      </w:rPr>
    </w:lvl>
    <w:lvl w:ilvl="2">
      <w:start w:val="1"/>
      <w:numFmt w:val="bullet"/>
      <w:isLgl w:val="false"/>
      <w:suff w:val="tab"/>
      <w:lvlText w:val="§"/>
      <w:lvlJc w:val="left"/>
      <w:pPr>
        <w:pStyle w:val="741"/>
        <w:ind w:left="2160" w:hanging="360"/>
      </w:pPr>
      <w:rPr>
        <w:rFonts w:ascii="Wingdings" w:hAnsi="Wingdings" w:eastAsia="Wingdings" w:cs="Wingdings"/>
      </w:rPr>
    </w:lvl>
    <w:lvl w:ilvl="3">
      <w:start w:val="1"/>
      <w:numFmt w:val="bullet"/>
      <w:isLgl w:val="false"/>
      <w:suff w:val="tab"/>
      <w:lvlText w:val="·"/>
      <w:lvlJc w:val="left"/>
      <w:pPr>
        <w:pStyle w:val="741"/>
        <w:ind w:left="2880" w:hanging="360"/>
      </w:pPr>
      <w:rPr>
        <w:rFonts w:ascii="Symbol" w:hAnsi="Symbol" w:eastAsia="Symbol" w:cs="Symbol"/>
      </w:rPr>
    </w:lvl>
    <w:lvl w:ilvl="4">
      <w:start w:val="1"/>
      <w:numFmt w:val="bullet"/>
      <w:isLgl w:val="false"/>
      <w:suff w:val="tab"/>
      <w:lvlText w:val="o"/>
      <w:lvlJc w:val="left"/>
      <w:pPr>
        <w:pStyle w:val="741"/>
        <w:ind w:left="3600" w:hanging="360"/>
      </w:pPr>
      <w:rPr>
        <w:rFonts w:ascii="Courier New" w:hAnsi="Courier New" w:eastAsia="Courier New" w:cs="Courier New"/>
      </w:rPr>
    </w:lvl>
    <w:lvl w:ilvl="5">
      <w:start w:val="1"/>
      <w:numFmt w:val="bullet"/>
      <w:isLgl w:val="false"/>
      <w:suff w:val="tab"/>
      <w:lvlText w:val="§"/>
      <w:lvlJc w:val="left"/>
      <w:pPr>
        <w:pStyle w:val="741"/>
        <w:ind w:left="4320" w:hanging="360"/>
      </w:pPr>
      <w:rPr>
        <w:rFonts w:ascii="Wingdings" w:hAnsi="Wingdings" w:eastAsia="Wingdings" w:cs="Wingdings"/>
      </w:rPr>
    </w:lvl>
    <w:lvl w:ilvl="6">
      <w:start w:val="1"/>
      <w:numFmt w:val="bullet"/>
      <w:isLgl w:val="false"/>
      <w:suff w:val="tab"/>
      <w:lvlText w:val="·"/>
      <w:lvlJc w:val="left"/>
      <w:pPr>
        <w:pStyle w:val="741"/>
        <w:ind w:left="5040" w:hanging="360"/>
      </w:pPr>
      <w:rPr>
        <w:rFonts w:ascii="Symbol" w:hAnsi="Symbol" w:eastAsia="Symbol" w:cs="Symbol"/>
      </w:rPr>
    </w:lvl>
    <w:lvl w:ilvl="7">
      <w:start w:val="1"/>
      <w:numFmt w:val="bullet"/>
      <w:isLgl w:val="false"/>
      <w:suff w:val="tab"/>
      <w:lvlText w:val="o"/>
      <w:lvlJc w:val="left"/>
      <w:pPr>
        <w:pStyle w:val="741"/>
        <w:ind w:left="5760" w:hanging="360"/>
      </w:pPr>
      <w:rPr>
        <w:rFonts w:ascii="Courier New" w:hAnsi="Courier New" w:eastAsia="Courier New" w:cs="Courier New"/>
      </w:rPr>
    </w:lvl>
    <w:lvl w:ilvl="8">
      <w:start w:val="1"/>
      <w:numFmt w:val="bullet"/>
      <w:isLgl w:val="false"/>
      <w:suff w:val="tab"/>
      <w:lvlText w:val="§"/>
      <w:lvlJc w:val="left"/>
      <w:pPr>
        <w:pStyle w:val="741"/>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41"/>
      </w:pPr>
    </w:lvl>
    <w:lvl w:ilvl="1">
      <w:start w:val="1"/>
      <w:numFmt w:val="bullet"/>
      <w:isLgl w:val="false"/>
      <w:suff w:val="tab"/>
      <w:lvlText w:val="o"/>
      <w:lvlJc w:val="left"/>
      <w:pPr>
        <w:pStyle w:val="741"/>
        <w:ind w:left="1440" w:hanging="360"/>
      </w:pPr>
      <w:rPr>
        <w:rFonts w:ascii="Courier New" w:hAnsi="Courier New" w:eastAsia="Courier New" w:cs="Courier New"/>
      </w:rPr>
    </w:lvl>
    <w:lvl w:ilvl="2">
      <w:start w:val="1"/>
      <w:numFmt w:val="bullet"/>
      <w:isLgl w:val="false"/>
      <w:suff w:val="tab"/>
      <w:lvlText w:val="§"/>
      <w:lvlJc w:val="left"/>
      <w:pPr>
        <w:pStyle w:val="741"/>
        <w:ind w:left="2160" w:hanging="360"/>
      </w:pPr>
      <w:rPr>
        <w:rFonts w:ascii="Wingdings" w:hAnsi="Wingdings" w:eastAsia="Wingdings" w:cs="Wingdings"/>
      </w:rPr>
    </w:lvl>
    <w:lvl w:ilvl="3">
      <w:start w:val="1"/>
      <w:numFmt w:val="bullet"/>
      <w:isLgl w:val="false"/>
      <w:suff w:val="tab"/>
      <w:lvlText w:val="·"/>
      <w:lvlJc w:val="left"/>
      <w:pPr>
        <w:pStyle w:val="741"/>
        <w:ind w:left="2880" w:hanging="360"/>
      </w:pPr>
      <w:rPr>
        <w:rFonts w:ascii="Symbol" w:hAnsi="Symbol" w:eastAsia="Symbol" w:cs="Symbol"/>
      </w:rPr>
    </w:lvl>
    <w:lvl w:ilvl="4">
      <w:start w:val="1"/>
      <w:numFmt w:val="bullet"/>
      <w:isLgl w:val="false"/>
      <w:suff w:val="tab"/>
      <w:lvlText w:val="o"/>
      <w:lvlJc w:val="left"/>
      <w:pPr>
        <w:pStyle w:val="741"/>
        <w:ind w:left="3600" w:hanging="360"/>
      </w:pPr>
      <w:rPr>
        <w:rFonts w:ascii="Courier New" w:hAnsi="Courier New" w:eastAsia="Courier New" w:cs="Courier New"/>
      </w:rPr>
    </w:lvl>
    <w:lvl w:ilvl="5">
      <w:start w:val="1"/>
      <w:numFmt w:val="bullet"/>
      <w:isLgl w:val="false"/>
      <w:suff w:val="tab"/>
      <w:lvlText w:val="§"/>
      <w:lvlJc w:val="left"/>
      <w:pPr>
        <w:pStyle w:val="741"/>
        <w:ind w:left="4320" w:hanging="360"/>
      </w:pPr>
      <w:rPr>
        <w:rFonts w:ascii="Wingdings" w:hAnsi="Wingdings" w:eastAsia="Wingdings" w:cs="Wingdings"/>
      </w:rPr>
    </w:lvl>
    <w:lvl w:ilvl="6">
      <w:start w:val="1"/>
      <w:numFmt w:val="bullet"/>
      <w:isLgl w:val="false"/>
      <w:suff w:val="tab"/>
      <w:lvlText w:val="·"/>
      <w:lvlJc w:val="left"/>
      <w:pPr>
        <w:pStyle w:val="741"/>
        <w:ind w:left="5040" w:hanging="360"/>
      </w:pPr>
      <w:rPr>
        <w:rFonts w:ascii="Symbol" w:hAnsi="Symbol" w:eastAsia="Symbol" w:cs="Symbol"/>
      </w:rPr>
    </w:lvl>
    <w:lvl w:ilvl="7">
      <w:start w:val="1"/>
      <w:numFmt w:val="bullet"/>
      <w:isLgl w:val="false"/>
      <w:suff w:val="tab"/>
      <w:lvlText w:val="o"/>
      <w:lvlJc w:val="left"/>
      <w:pPr>
        <w:pStyle w:val="741"/>
        <w:ind w:left="5760" w:hanging="360"/>
      </w:pPr>
      <w:rPr>
        <w:rFonts w:ascii="Courier New" w:hAnsi="Courier New" w:eastAsia="Courier New" w:cs="Courier New"/>
      </w:rPr>
    </w:lvl>
    <w:lvl w:ilvl="8">
      <w:start w:val="1"/>
      <w:numFmt w:val="bullet"/>
      <w:isLgl w:val="false"/>
      <w:suff w:val="tab"/>
      <w:lvlText w:val="§"/>
      <w:lvlJc w:val="left"/>
      <w:pPr>
        <w:pStyle w:val="741"/>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41"/>
      </w:pPr>
    </w:lvl>
    <w:lvl w:ilvl="1">
      <w:start w:val="1"/>
      <w:numFmt w:val="bullet"/>
      <w:isLgl w:val="false"/>
      <w:suff w:val="tab"/>
      <w:lvlText w:val="o"/>
      <w:lvlJc w:val="left"/>
      <w:pPr>
        <w:pStyle w:val="741"/>
        <w:ind w:left="1440" w:hanging="360"/>
      </w:pPr>
      <w:rPr>
        <w:rFonts w:ascii="Courier New" w:hAnsi="Courier New" w:eastAsia="Courier New" w:cs="Courier New"/>
      </w:rPr>
    </w:lvl>
    <w:lvl w:ilvl="2">
      <w:start w:val="1"/>
      <w:numFmt w:val="bullet"/>
      <w:isLgl w:val="false"/>
      <w:suff w:val="tab"/>
      <w:lvlText w:val="§"/>
      <w:lvlJc w:val="left"/>
      <w:pPr>
        <w:pStyle w:val="741"/>
        <w:ind w:left="2160" w:hanging="360"/>
      </w:pPr>
      <w:rPr>
        <w:rFonts w:ascii="Wingdings" w:hAnsi="Wingdings" w:eastAsia="Wingdings" w:cs="Wingdings"/>
      </w:rPr>
    </w:lvl>
    <w:lvl w:ilvl="3">
      <w:start w:val="1"/>
      <w:numFmt w:val="bullet"/>
      <w:isLgl w:val="false"/>
      <w:suff w:val="tab"/>
      <w:lvlText w:val="·"/>
      <w:lvlJc w:val="left"/>
      <w:pPr>
        <w:pStyle w:val="741"/>
        <w:ind w:left="2880" w:hanging="360"/>
      </w:pPr>
      <w:rPr>
        <w:rFonts w:ascii="Symbol" w:hAnsi="Symbol" w:eastAsia="Symbol" w:cs="Symbol"/>
      </w:rPr>
    </w:lvl>
    <w:lvl w:ilvl="4">
      <w:start w:val="1"/>
      <w:numFmt w:val="bullet"/>
      <w:isLgl w:val="false"/>
      <w:suff w:val="tab"/>
      <w:lvlText w:val="o"/>
      <w:lvlJc w:val="left"/>
      <w:pPr>
        <w:pStyle w:val="741"/>
        <w:ind w:left="3600" w:hanging="360"/>
      </w:pPr>
      <w:rPr>
        <w:rFonts w:ascii="Courier New" w:hAnsi="Courier New" w:eastAsia="Courier New" w:cs="Courier New"/>
      </w:rPr>
    </w:lvl>
    <w:lvl w:ilvl="5">
      <w:start w:val="1"/>
      <w:numFmt w:val="bullet"/>
      <w:isLgl w:val="false"/>
      <w:suff w:val="tab"/>
      <w:lvlText w:val="§"/>
      <w:lvlJc w:val="left"/>
      <w:pPr>
        <w:pStyle w:val="741"/>
        <w:ind w:left="4320" w:hanging="360"/>
      </w:pPr>
      <w:rPr>
        <w:rFonts w:ascii="Wingdings" w:hAnsi="Wingdings" w:eastAsia="Wingdings" w:cs="Wingdings"/>
      </w:rPr>
    </w:lvl>
    <w:lvl w:ilvl="6">
      <w:start w:val="1"/>
      <w:numFmt w:val="bullet"/>
      <w:isLgl w:val="false"/>
      <w:suff w:val="tab"/>
      <w:lvlText w:val="·"/>
      <w:lvlJc w:val="left"/>
      <w:pPr>
        <w:pStyle w:val="741"/>
        <w:ind w:left="5040" w:hanging="360"/>
      </w:pPr>
      <w:rPr>
        <w:rFonts w:ascii="Symbol" w:hAnsi="Symbol" w:eastAsia="Symbol" w:cs="Symbol"/>
      </w:rPr>
    </w:lvl>
    <w:lvl w:ilvl="7">
      <w:start w:val="1"/>
      <w:numFmt w:val="bullet"/>
      <w:isLgl w:val="false"/>
      <w:suff w:val="tab"/>
      <w:lvlText w:val="o"/>
      <w:lvlJc w:val="left"/>
      <w:pPr>
        <w:pStyle w:val="741"/>
        <w:ind w:left="5760" w:hanging="360"/>
      </w:pPr>
      <w:rPr>
        <w:rFonts w:ascii="Courier New" w:hAnsi="Courier New" w:eastAsia="Courier New" w:cs="Courier New"/>
      </w:rPr>
    </w:lvl>
    <w:lvl w:ilvl="8">
      <w:start w:val="1"/>
      <w:numFmt w:val="bullet"/>
      <w:isLgl w:val="false"/>
      <w:suff w:val="tab"/>
      <w:lvlText w:val="§"/>
      <w:lvlJc w:val="left"/>
      <w:pPr>
        <w:pStyle w:val="741"/>
        <w:ind w:left="6480" w:hanging="360"/>
      </w:pPr>
      <w:rPr>
        <w:rFonts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741"/>
    <w:next w:val="741"/>
    <w:link w:val="804"/>
    <w:uiPriority w:val="9"/>
    <w:qFormat/>
    <w:pPr>
      <w:keepLines/>
      <w:keepNext/>
      <w:spacing w:before="480" w:after="200"/>
      <w:outlineLvl w:val="0"/>
    </w:pPr>
    <w:rPr>
      <w:rFonts w:ascii="Arial" w:hAnsi="Arial" w:eastAsia="Arial" w:cs="Arial"/>
      <w:sz w:val="40"/>
      <w:szCs w:val="40"/>
    </w:rPr>
  </w:style>
  <w:style w:type="paragraph" w:styleId="695">
    <w:name w:val="Heading 2"/>
    <w:basedOn w:val="741"/>
    <w:next w:val="741"/>
    <w:link w:val="805"/>
    <w:uiPriority w:val="9"/>
    <w:unhideWhenUsed/>
    <w:qFormat/>
    <w:pPr>
      <w:keepLines/>
      <w:keepNext/>
      <w:spacing w:before="360" w:after="200"/>
      <w:outlineLvl w:val="1"/>
    </w:pPr>
    <w:rPr>
      <w:rFonts w:ascii="Arial" w:hAnsi="Arial" w:eastAsia="Arial" w:cs="Arial"/>
      <w:sz w:val="34"/>
    </w:rPr>
  </w:style>
  <w:style w:type="paragraph" w:styleId="696">
    <w:name w:val="Heading 3"/>
    <w:basedOn w:val="741"/>
    <w:next w:val="741"/>
    <w:link w:val="806"/>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741"/>
    <w:next w:val="741"/>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741"/>
    <w:next w:val="741"/>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741"/>
    <w:next w:val="741"/>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41"/>
    <w:next w:val="741"/>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41"/>
    <w:next w:val="741"/>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41"/>
    <w:next w:val="741"/>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41"/>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41"/>
    <w:next w:val="741"/>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41"/>
    <w:next w:val="741"/>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41"/>
    <w:next w:val="741"/>
    <w:link w:val="716"/>
    <w:uiPriority w:val="29"/>
    <w:qFormat/>
    <w:pPr>
      <w:ind w:left="720" w:right="720"/>
    </w:pPr>
    <w:rPr>
      <w:i/>
    </w:rPr>
  </w:style>
  <w:style w:type="character" w:styleId="716">
    <w:name w:val="Quote Char"/>
    <w:link w:val="715"/>
    <w:uiPriority w:val="29"/>
    <w:rPr>
      <w:i/>
    </w:rPr>
  </w:style>
  <w:style w:type="paragraph" w:styleId="717">
    <w:name w:val="Intense Quote"/>
    <w:basedOn w:val="741"/>
    <w:next w:val="741"/>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41"/>
    <w:link w:val="812"/>
    <w:uiPriority w:val="99"/>
    <w:unhideWhenUsed/>
    <w:pPr>
      <w:spacing w:after="0" w:line="240" w:lineRule="auto"/>
      <w:tabs>
        <w:tab w:val="center" w:pos="7143" w:leader="none"/>
        <w:tab w:val="right" w:pos="14287" w:leader="none"/>
      </w:tabs>
    </w:pPr>
  </w:style>
  <w:style w:type="paragraph" w:styleId="720">
    <w:name w:val="Footer"/>
    <w:basedOn w:val="741"/>
    <w:link w:val="814"/>
    <w:uiPriority w:val="99"/>
    <w:unhideWhenUsed/>
    <w:pPr>
      <w:spacing w:after="0" w:line="240" w:lineRule="auto"/>
      <w:tabs>
        <w:tab w:val="center" w:pos="7143" w:leader="none"/>
        <w:tab w:val="right" w:pos="14287" w:leader="none"/>
      </w:tabs>
    </w:pPr>
  </w:style>
  <w:style w:type="paragraph" w:styleId="721">
    <w:name w:val="Caption"/>
    <w:basedOn w:val="741"/>
    <w:next w:val="741"/>
    <w:uiPriority w:val="35"/>
    <w:semiHidden/>
    <w:unhideWhenUsed/>
    <w:qFormat/>
    <w:pPr>
      <w:spacing w:line="276" w:lineRule="auto"/>
    </w:pPr>
    <w:rPr>
      <w:b/>
      <w:bCs/>
      <w:color w:val="4f81bd" w:themeColor="accent1"/>
      <w:sz w:val="18"/>
      <w:szCs w:val="18"/>
    </w:rPr>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Hyperlink"/>
    <w:uiPriority w:val="99"/>
    <w:unhideWhenUsed/>
    <w:rPr>
      <w:color w:val="0000ff" w:themeColor="hyperlink"/>
      <w:u w:val="single"/>
    </w:rPr>
  </w:style>
  <w:style w:type="paragraph" w:styleId="724">
    <w:name w:val="footnote text"/>
    <w:basedOn w:val="741"/>
    <w:link w:val="725"/>
    <w:uiPriority w:val="99"/>
    <w:semiHidden/>
    <w:unhideWhenUsed/>
    <w:pPr>
      <w:spacing w:after="40" w:line="240" w:lineRule="auto"/>
    </w:pPr>
    <w:rPr>
      <w:sz w:val="18"/>
    </w:rPr>
  </w:style>
  <w:style w:type="character" w:styleId="725">
    <w:name w:val="Footnote Text Char"/>
    <w:link w:val="724"/>
    <w:uiPriority w:val="99"/>
    <w:rPr>
      <w:sz w:val="18"/>
    </w:rPr>
  </w:style>
  <w:style w:type="character" w:styleId="726">
    <w:name w:val="footnote reference"/>
    <w:uiPriority w:val="99"/>
    <w:unhideWhenUsed/>
    <w:rPr>
      <w:vertAlign w:val="superscript"/>
    </w:rPr>
  </w:style>
  <w:style w:type="paragraph" w:styleId="727">
    <w:name w:val="endnote text"/>
    <w:basedOn w:val="741"/>
    <w:link w:val="728"/>
    <w:uiPriority w:val="99"/>
    <w:semiHidden/>
    <w:unhideWhenUsed/>
    <w:pPr>
      <w:spacing w:after="0" w:line="240" w:lineRule="auto"/>
    </w:pPr>
    <w:rPr>
      <w:sz w:val="20"/>
    </w:rPr>
  </w:style>
  <w:style w:type="character" w:styleId="728">
    <w:name w:val="Endnote Text Char"/>
    <w:link w:val="727"/>
    <w:uiPriority w:val="99"/>
    <w:rPr>
      <w:sz w:val="20"/>
    </w:rPr>
  </w:style>
  <w:style w:type="character" w:styleId="729">
    <w:name w:val="endnote reference"/>
    <w:uiPriority w:val="99"/>
    <w:semiHidden/>
    <w:unhideWhenUsed/>
    <w:rPr>
      <w:vertAlign w:val="superscript"/>
    </w:rPr>
  </w:style>
  <w:style w:type="paragraph" w:styleId="730">
    <w:name w:val="toc 1"/>
    <w:basedOn w:val="741"/>
    <w:next w:val="741"/>
    <w:uiPriority w:val="39"/>
    <w:unhideWhenUsed/>
    <w:pPr>
      <w:ind w:left="0" w:right="0" w:firstLine="0"/>
      <w:spacing w:after="57"/>
    </w:pPr>
  </w:style>
  <w:style w:type="paragraph" w:styleId="731">
    <w:name w:val="toc 2"/>
    <w:basedOn w:val="741"/>
    <w:next w:val="741"/>
    <w:uiPriority w:val="39"/>
    <w:unhideWhenUsed/>
    <w:pPr>
      <w:ind w:left="283" w:right="0" w:firstLine="0"/>
      <w:spacing w:after="57"/>
    </w:pPr>
  </w:style>
  <w:style w:type="paragraph" w:styleId="732">
    <w:name w:val="toc 3"/>
    <w:basedOn w:val="741"/>
    <w:next w:val="741"/>
    <w:uiPriority w:val="39"/>
    <w:unhideWhenUsed/>
    <w:pPr>
      <w:ind w:left="567" w:right="0" w:firstLine="0"/>
      <w:spacing w:after="57"/>
    </w:pPr>
  </w:style>
  <w:style w:type="paragraph" w:styleId="733">
    <w:name w:val="toc 4"/>
    <w:basedOn w:val="741"/>
    <w:next w:val="741"/>
    <w:uiPriority w:val="39"/>
    <w:unhideWhenUsed/>
    <w:pPr>
      <w:ind w:left="850" w:right="0" w:firstLine="0"/>
      <w:spacing w:after="57"/>
    </w:pPr>
  </w:style>
  <w:style w:type="paragraph" w:styleId="734">
    <w:name w:val="toc 5"/>
    <w:basedOn w:val="741"/>
    <w:next w:val="741"/>
    <w:uiPriority w:val="39"/>
    <w:unhideWhenUsed/>
    <w:pPr>
      <w:ind w:left="1134" w:right="0" w:firstLine="0"/>
      <w:spacing w:after="57"/>
    </w:pPr>
  </w:style>
  <w:style w:type="paragraph" w:styleId="735">
    <w:name w:val="toc 6"/>
    <w:basedOn w:val="741"/>
    <w:next w:val="741"/>
    <w:uiPriority w:val="39"/>
    <w:unhideWhenUsed/>
    <w:pPr>
      <w:ind w:left="1417" w:right="0" w:firstLine="0"/>
      <w:spacing w:after="57"/>
    </w:pPr>
  </w:style>
  <w:style w:type="paragraph" w:styleId="736">
    <w:name w:val="toc 7"/>
    <w:basedOn w:val="741"/>
    <w:next w:val="741"/>
    <w:uiPriority w:val="39"/>
    <w:unhideWhenUsed/>
    <w:pPr>
      <w:ind w:left="1701" w:right="0" w:firstLine="0"/>
      <w:spacing w:after="57"/>
    </w:pPr>
  </w:style>
  <w:style w:type="paragraph" w:styleId="737">
    <w:name w:val="toc 8"/>
    <w:basedOn w:val="741"/>
    <w:next w:val="741"/>
    <w:uiPriority w:val="39"/>
    <w:unhideWhenUsed/>
    <w:pPr>
      <w:ind w:left="1984" w:right="0" w:firstLine="0"/>
      <w:spacing w:after="57"/>
    </w:pPr>
  </w:style>
  <w:style w:type="paragraph" w:styleId="738">
    <w:name w:val="toc 9"/>
    <w:basedOn w:val="741"/>
    <w:next w:val="741"/>
    <w:uiPriority w:val="39"/>
    <w:unhideWhenUsed/>
    <w:pPr>
      <w:ind w:left="2268" w:right="0" w:firstLine="0"/>
      <w:spacing w:after="57"/>
    </w:pPr>
  </w:style>
  <w:style w:type="paragraph" w:styleId="739">
    <w:name w:val="TOC Heading"/>
    <w:uiPriority w:val="39"/>
    <w:unhideWhenUsed/>
  </w:style>
  <w:style w:type="paragraph" w:styleId="740">
    <w:name w:val="table of figures"/>
    <w:basedOn w:val="741"/>
    <w:next w:val="741"/>
    <w:uiPriority w:val="99"/>
    <w:unhideWhenUsed/>
    <w:pPr>
      <w:spacing w:after="0" w:afterAutospacing="0"/>
    </w:pPr>
  </w:style>
  <w:style w:type="paragraph" w:styleId="741" w:default="1">
    <w:name w:val="Normal"/>
    <w:next w:val="741"/>
    <w:link w:val="753"/>
    <w:qFormat/>
    <w:pPr>
      <w:jc w:val="both"/>
      <w:widowControl w:val="off"/>
    </w:pPr>
    <w:rPr>
      <w:rFonts w:ascii="Calibri" w:hAnsi="Calibri"/>
      <w:sz w:val="21"/>
      <w:szCs w:val="22"/>
      <w:lang w:val="en-US" w:eastAsia="zh-CN" w:bidi="ar-SA"/>
    </w:rPr>
  </w:style>
  <w:style w:type="paragraph" w:styleId="742">
    <w:name w:val="标题 1"/>
    <w:basedOn w:val="741"/>
    <w:next w:val="741"/>
    <w:link w:val="741"/>
    <w:uiPriority w:val="9"/>
    <w:qFormat/>
    <w:pPr>
      <w:keepLines/>
      <w:keepNext/>
      <w:spacing w:before="340" w:after="330" w:line="578" w:lineRule="auto"/>
      <w:outlineLvl w:val="0"/>
    </w:pPr>
    <w:rPr>
      <w:b/>
      <w:bCs/>
      <w:sz w:val="44"/>
      <w:szCs w:val="44"/>
    </w:rPr>
  </w:style>
  <w:style w:type="paragraph" w:styleId="743">
    <w:name w:val="标题 2"/>
    <w:basedOn w:val="741"/>
    <w:next w:val="741"/>
    <w:link w:val="741"/>
    <w:qFormat/>
    <w:pPr>
      <w:jc w:val="center"/>
      <w:keepLines/>
      <w:keepNext/>
      <w:spacing w:before="260" w:after="260" w:line="416" w:lineRule="auto"/>
      <w:outlineLvl w:val="1"/>
    </w:pPr>
    <w:rPr>
      <w:rFonts w:ascii="Arial" w:hAnsi="Arial" w:eastAsia="幼圆" w:cs="Arial"/>
      <w:b/>
      <w:bCs/>
      <w:sz w:val="44"/>
      <w:szCs w:val="44"/>
    </w:rPr>
  </w:style>
  <w:style w:type="paragraph" w:styleId="744">
    <w:name w:val="标题 3"/>
    <w:basedOn w:val="741"/>
    <w:next w:val="741"/>
    <w:link w:val="741"/>
    <w:qFormat/>
    <w:pPr>
      <w:keepLines/>
      <w:keepNext/>
      <w:spacing w:before="260" w:after="260" w:line="416" w:lineRule="auto"/>
      <w:outlineLvl w:val="2"/>
    </w:pPr>
    <w:rPr>
      <w:b/>
      <w:bCs/>
      <w:sz w:val="32"/>
      <w:szCs w:val="32"/>
    </w:rPr>
  </w:style>
  <w:style w:type="paragraph" w:styleId="745">
    <w:name w:val="标题 4"/>
    <w:basedOn w:val="741"/>
    <w:next w:val="741"/>
    <w:link w:val="754"/>
    <w:uiPriority w:val="9"/>
    <w:unhideWhenUsed/>
    <w:qFormat/>
    <w:pPr>
      <w:keepLines/>
      <w:keepNext/>
      <w:spacing w:before="320" w:after="200"/>
      <w:outlineLvl w:val="3"/>
    </w:pPr>
    <w:rPr>
      <w:rFonts w:ascii="Arial" w:hAnsi="Arial" w:eastAsia="Arial" w:cs="Arial"/>
      <w:b/>
      <w:bCs/>
      <w:sz w:val="26"/>
      <w:szCs w:val="26"/>
    </w:rPr>
  </w:style>
  <w:style w:type="paragraph" w:styleId="746">
    <w:name w:val="标题 5"/>
    <w:basedOn w:val="741"/>
    <w:next w:val="741"/>
    <w:link w:val="755"/>
    <w:uiPriority w:val="9"/>
    <w:unhideWhenUsed/>
    <w:qFormat/>
    <w:pPr>
      <w:keepLines/>
      <w:keepNext/>
      <w:spacing w:before="320" w:after="200"/>
      <w:outlineLvl w:val="4"/>
    </w:pPr>
    <w:rPr>
      <w:rFonts w:ascii="Arial" w:hAnsi="Arial" w:eastAsia="Arial" w:cs="Arial"/>
      <w:b/>
      <w:bCs/>
      <w:sz w:val="24"/>
      <w:szCs w:val="24"/>
    </w:rPr>
  </w:style>
  <w:style w:type="paragraph" w:styleId="747">
    <w:name w:val="标题 6"/>
    <w:basedOn w:val="741"/>
    <w:next w:val="741"/>
    <w:link w:val="756"/>
    <w:uiPriority w:val="9"/>
    <w:unhideWhenUsed/>
    <w:qFormat/>
    <w:pPr>
      <w:keepLines/>
      <w:keepNext/>
      <w:spacing w:before="320" w:after="200"/>
      <w:outlineLvl w:val="5"/>
    </w:pPr>
    <w:rPr>
      <w:rFonts w:ascii="Arial" w:hAnsi="Arial" w:eastAsia="Arial" w:cs="Arial"/>
      <w:b/>
      <w:bCs/>
      <w:sz w:val="22"/>
      <w:szCs w:val="22"/>
    </w:rPr>
  </w:style>
  <w:style w:type="paragraph" w:styleId="748">
    <w:name w:val="标题 7"/>
    <w:basedOn w:val="741"/>
    <w:next w:val="741"/>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标题 8"/>
    <w:basedOn w:val="741"/>
    <w:next w:val="741"/>
    <w:link w:val="758"/>
    <w:uiPriority w:val="9"/>
    <w:unhideWhenUsed/>
    <w:qFormat/>
    <w:pPr>
      <w:keepLines/>
      <w:keepNext/>
      <w:spacing w:before="320" w:after="200"/>
      <w:outlineLvl w:val="7"/>
    </w:pPr>
    <w:rPr>
      <w:rFonts w:ascii="Arial" w:hAnsi="Arial" w:eastAsia="Arial" w:cs="Arial"/>
      <w:i/>
      <w:iCs/>
      <w:sz w:val="22"/>
      <w:szCs w:val="22"/>
    </w:rPr>
  </w:style>
  <w:style w:type="paragraph" w:styleId="750">
    <w:name w:val="标题 9"/>
    <w:basedOn w:val="741"/>
    <w:next w:val="741"/>
    <w:link w:val="759"/>
    <w:uiPriority w:val="9"/>
    <w:unhideWhenUsed/>
    <w:qFormat/>
    <w:pPr>
      <w:keepLines/>
      <w:keepNext/>
      <w:spacing w:before="320" w:after="200"/>
      <w:outlineLvl w:val="8"/>
    </w:pPr>
    <w:rPr>
      <w:rFonts w:ascii="Arial" w:hAnsi="Arial" w:eastAsia="Arial" w:cs="Arial"/>
      <w:i/>
      <w:iCs/>
      <w:sz w:val="21"/>
      <w:szCs w:val="21"/>
    </w:rPr>
  </w:style>
  <w:style w:type="character" w:styleId="751">
    <w:name w:val="默认段落字体"/>
    <w:next w:val="751"/>
    <w:link w:val="741"/>
    <w:uiPriority w:val="1"/>
    <w:unhideWhenUsed/>
  </w:style>
  <w:style w:type="table" w:styleId="752">
    <w:name w:val="普通表格"/>
    <w:next w:val="752"/>
    <w:link w:val="741"/>
    <w:uiPriority w:val="99"/>
    <w:unhideWhenUsed/>
    <w:qFormat/>
    <w:tblPr/>
  </w:style>
  <w:style w:type="character" w:styleId="753">
    <w:name w:val="NormalCharacter11"/>
    <w:next w:val="753"/>
    <w:link w:val="741"/>
    <w:qFormat/>
    <w:rPr>
      <w:rFonts w:ascii="Calibri" w:hAnsi="Calibri"/>
      <w:sz w:val="21"/>
      <w:szCs w:val="22"/>
      <w:lang w:val="en-US" w:eastAsia="zh-CN" w:bidi="ar-SA"/>
    </w:rPr>
  </w:style>
  <w:style w:type="character" w:styleId="754">
    <w:name w:val="标题 4 Char"/>
    <w:basedOn w:val="751"/>
    <w:next w:val="754"/>
    <w:link w:val="745"/>
    <w:uiPriority w:val="9"/>
    <w:qFormat/>
    <w:rPr>
      <w:rFonts w:ascii="Arial" w:hAnsi="Arial" w:eastAsia="Arial" w:cs="Arial"/>
      <w:b/>
      <w:bCs/>
      <w:sz w:val="26"/>
      <w:szCs w:val="26"/>
    </w:rPr>
  </w:style>
  <w:style w:type="character" w:styleId="755">
    <w:name w:val="标题 5 Char"/>
    <w:basedOn w:val="751"/>
    <w:next w:val="755"/>
    <w:link w:val="746"/>
    <w:uiPriority w:val="9"/>
    <w:qFormat/>
    <w:rPr>
      <w:rFonts w:ascii="Arial" w:hAnsi="Arial" w:eastAsia="Arial" w:cs="Arial"/>
      <w:b/>
      <w:bCs/>
      <w:sz w:val="24"/>
      <w:szCs w:val="24"/>
    </w:rPr>
  </w:style>
  <w:style w:type="character" w:styleId="756">
    <w:name w:val="标题 6 Char"/>
    <w:basedOn w:val="751"/>
    <w:next w:val="756"/>
    <w:link w:val="747"/>
    <w:uiPriority w:val="9"/>
    <w:qFormat/>
    <w:rPr>
      <w:rFonts w:ascii="Arial" w:hAnsi="Arial" w:eastAsia="Arial" w:cs="Arial"/>
      <w:b/>
      <w:bCs/>
      <w:sz w:val="22"/>
      <w:szCs w:val="22"/>
    </w:rPr>
  </w:style>
  <w:style w:type="character" w:styleId="757">
    <w:name w:val="标题 7 Char"/>
    <w:basedOn w:val="751"/>
    <w:next w:val="757"/>
    <w:link w:val="748"/>
    <w:uiPriority w:val="9"/>
    <w:qFormat/>
    <w:rPr>
      <w:rFonts w:ascii="Arial" w:hAnsi="Arial" w:eastAsia="Arial" w:cs="Arial"/>
      <w:b/>
      <w:bCs/>
      <w:i/>
      <w:iCs/>
      <w:sz w:val="22"/>
      <w:szCs w:val="22"/>
    </w:rPr>
  </w:style>
  <w:style w:type="character" w:styleId="758">
    <w:name w:val="标题 8 Char"/>
    <w:basedOn w:val="751"/>
    <w:next w:val="758"/>
    <w:link w:val="749"/>
    <w:uiPriority w:val="9"/>
    <w:qFormat/>
    <w:rPr>
      <w:rFonts w:ascii="Arial" w:hAnsi="Arial" w:eastAsia="Arial" w:cs="Arial"/>
      <w:i/>
      <w:iCs/>
      <w:sz w:val="22"/>
      <w:szCs w:val="22"/>
    </w:rPr>
  </w:style>
  <w:style w:type="character" w:styleId="759">
    <w:name w:val="标题 9 Char"/>
    <w:basedOn w:val="751"/>
    <w:next w:val="759"/>
    <w:link w:val="750"/>
    <w:uiPriority w:val="9"/>
    <w:qFormat/>
    <w:rPr>
      <w:rFonts w:ascii="Arial" w:hAnsi="Arial" w:eastAsia="Arial" w:cs="Arial"/>
      <w:i/>
      <w:iCs/>
      <w:sz w:val="21"/>
      <w:szCs w:val="21"/>
    </w:rPr>
  </w:style>
  <w:style w:type="paragraph" w:styleId="760">
    <w:name w:val="目录 7"/>
    <w:basedOn w:val="741"/>
    <w:next w:val="741"/>
    <w:link w:val="741"/>
    <w:uiPriority w:val="39"/>
    <w:unhideWhenUsed/>
    <w:qFormat/>
    <w:pPr>
      <w:ind w:left="1701" w:right="0" w:firstLine="0"/>
      <w:spacing w:after="57"/>
    </w:pPr>
  </w:style>
  <w:style w:type="paragraph" w:styleId="761">
    <w:name w:val="引文目录"/>
    <w:basedOn w:val="741"/>
    <w:next w:val="741"/>
    <w:link w:val="741"/>
    <w:qFormat/>
    <w:pPr>
      <w:ind w:left="420" w:firstLine="200"/>
      <w:spacing w:line="360" w:lineRule="auto"/>
    </w:pPr>
    <w:rPr>
      <w:rFonts w:ascii="Times New Roman" w:hAnsi="Times New Roman"/>
      <w:sz w:val="24"/>
      <w:szCs w:val="24"/>
    </w:rPr>
  </w:style>
  <w:style w:type="paragraph" w:styleId="762">
    <w:name w:val="正文缩进"/>
    <w:basedOn w:val="741"/>
    <w:next w:val="741"/>
    <w:link w:val="741"/>
    <w:unhideWhenUsed/>
    <w:qFormat/>
    <w:pPr>
      <w:ind w:firstLine="420"/>
    </w:pPr>
  </w:style>
  <w:style w:type="paragraph" w:styleId="763">
    <w:name w:val="题注"/>
    <w:basedOn w:val="741"/>
    <w:next w:val="741"/>
    <w:link w:val="741"/>
    <w:uiPriority w:val="35"/>
    <w:unhideWhenUsed/>
    <w:qFormat/>
    <w:pPr>
      <w:spacing w:line="276" w:lineRule="auto"/>
    </w:pPr>
    <w:rPr>
      <w:b/>
      <w:bCs/>
      <w:color w:val="5b9bd5"/>
      <w:sz w:val="18"/>
      <w:szCs w:val="18"/>
    </w:rPr>
  </w:style>
  <w:style w:type="paragraph" w:styleId="764">
    <w:name w:val="批注文字"/>
    <w:basedOn w:val="741"/>
    <w:next w:val="764"/>
    <w:link w:val="741"/>
    <w:qFormat/>
    <w:pPr>
      <w:jc w:val="left"/>
    </w:pPr>
  </w:style>
  <w:style w:type="paragraph" w:styleId="765">
    <w:name w:val="正文文本"/>
    <w:basedOn w:val="741"/>
    <w:next w:val="765"/>
    <w:link w:val="741"/>
    <w:qFormat/>
    <w:rPr>
      <w:rFonts w:ascii="楷体_GB2312" w:hAnsi="Arial" w:eastAsia="楷体_GB2312"/>
      <w:sz w:val="28"/>
      <w:szCs w:val="28"/>
    </w:rPr>
  </w:style>
  <w:style w:type="paragraph" w:styleId="766">
    <w:name w:val="正文文本缩进"/>
    <w:basedOn w:val="741"/>
    <w:next w:val="741"/>
    <w:link w:val="741"/>
    <w:uiPriority w:val="99"/>
    <w:qFormat/>
    <w:pPr>
      <w:ind w:left="420"/>
      <w:spacing w:after="120"/>
    </w:pPr>
    <w:rPr>
      <w:sz w:val="20"/>
      <w:szCs w:val="24"/>
    </w:rPr>
  </w:style>
  <w:style w:type="paragraph" w:styleId="767">
    <w:name w:val="列表项目符号 2"/>
    <w:basedOn w:val="741"/>
    <w:next w:val="767"/>
    <w:link w:val="741"/>
    <w:qFormat/>
    <w:pPr>
      <w:numPr>
        <w:ilvl w:val="0"/>
        <w:numId w:val="1"/>
      </w:numPr>
      <w:tabs>
        <w:tab w:val="left" w:pos="780" w:leader="none"/>
      </w:tabs>
    </w:pPr>
  </w:style>
  <w:style w:type="paragraph" w:styleId="768">
    <w:name w:val="目录 5"/>
    <w:basedOn w:val="741"/>
    <w:next w:val="741"/>
    <w:link w:val="741"/>
    <w:uiPriority w:val="39"/>
    <w:unhideWhenUsed/>
    <w:qFormat/>
    <w:pPr>
      <w:ind w:left="1134" w:right="0" w:firstLine="0"/>
      <w:spacing w:after="57"/>
    </w:pPr>
  </w:style>
  <w:style w:type="paragraph" w:styleId="769">
    <w:name w:val="目录 3"/>
    <w:basedOn w:val="741"/>
    <w:next w:val="741"/>
    <w:link w:val="741"/>
    <w:uiPriority w:val="39"/>
    <w:unhideWhenUsed/>
    <w:qFormat/>
    <w:pPr>
      <w:ind w:left="567" w:right="0" w:firstLine="0"/>
      <w:spacing w:after="57"/>
    </w:pPr>
  </w:style>
  <w:style w:type="paragraph" w:styleId="770">
    <w:name w:val="纯文本"/>
    <w:basedOn w:val="741"/>
    <w:next w:val="762"/>
    <w:link w:val="741"/>
    <w:uiPriority w:val="99"/>
    <w:qFormat/>
    <w:rPr>
      <w:rFonts w:ascii="宋体" w:hAnsi="Courier New"/>
      <w:sz w:val="20"/>
      <w:szCs w:val="21"/>
    </w:rPr>
  </w:style>
  <w:style w:type="paragraph" w:styleId="771">
    <w:name w:val="目录 8"/>
    <w:basedOn w:val="741"/>
    <w:next w:val="741"/>
    <w:link w:val="741"/>
    <w:uiPriority w:val="39"/>
    <w:unhideWhenUsed/>
    <w:qFormat/>
    <w:pPr>
      <w:ind w:left="1984" w:right="0" w:firstLine="0"/>
      <w:spacing w:after="57"/>
    </w:pPr>
  </w:style>
  <w:style w:type="paragraph" w:styleId="772">
    <w:name w:val="尾注文本"/>
    <w:basedOn w:val="741"/>
    <w:next w:val="772"/>
    <w:link w:val="773"/>
    <w:uiPriority w:val="99"/>
    <w:unhideWhenUsed/>
    <w:qFormat/>
    <w:pPr>
      <w:spacing w:after="0" w:line="240" w:lineRule="auto"/>
    </w:pPr>
    <w:rPr>
      <w:rFonts w:ascii="Times New Roman" w:hAnsi="Times New Roman"/>
      <w:sz w:val="20"/>
      <w:szCs w:val="20"/>
    </w:rPr>
  </w:style>
  <w:style w:type="character" w:styleId="773">
    <w:name w:val="尾注文本 Char"/>
    <w:next w:val="773"/>
    <w:link w:val="772"/>
    <w:uiPriority w:val="99"/>
    <w:qFormat/>
    <w:rPr>
      <w:sz w:val="20"/>
    </w:rPr>
  </w:style>
  <w:style w:type="paragraph" w:styleId="774">
    <w:name w:val="批注框文本"/>
    <w:basedOn w:val="741"/>
    <w:next w:val="774"/>
    <w:link w:val="775"/>
    <w:qFormat/>
    <w:rPr>
      <w:sz w:val="18"/>
      <w:szCs w:val="18"/>
    </w:rPr>
  </w:style>
  <w:style w:type="character" w:styleId="775">
    <w:name w:val="批注框文本 Char"/>
    <w:basedOn w:val="751"/>
    <w:next w:val="775"/>
    <w:link w:val="774"/>
    <w:qFormat/>
    <w:rPr>
      <w:sz w:val="18"/>
      <w:szCs w:val="18"/>
    </w:rPr>
  </w:style>
  <w:style w:type="paragraph" w:styleId="776">
    <w:name w:val="页脚"/>
    <w:basedOn w:val="741"/>
    <w:next w:val="776"/>
    <w:link w:val="741"/>
    <w:uiPriority w:val="99"/>
    <w:unhideWhenUsed/>
    <w:qFormat/>
    <w:pPr>
      <w:jc w:val="left"/>
      <w:tabs>
        <w:tab w:val="center" w:pos="4153" w:leader="none"/>
        <w:tab w:val="right" w:pos="8306" w:leader="none"/>
      </w:tabs>
    </w:pPr>
    <w:rPr>
      <w:sz w:val="18"/>
      <w:szCs w:val="18"/>
    </w:rPr>
  </w:style>
  <w:style w:type="paragraph" w:styleId="777">
    <w:name w:val="页眉"/>
    <w:basedOn w:val="741"/>
    <w:next w:val="777"/>
    <w:link w:val="74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78">
    <w:name w:val="目录 1"/>
    <w:basedOn w:val="741"/>
    <w:next w:val="741"/>
    <w:link w:val="741"/>
    <w:uiPriority w:val="39"/>
    <w:unhideWhenUsed/>
    <w:qFormat/>
  </w:style>
  <w:style w:type="paragraph" w:styleId="779">
    <w:name w:val="目录 4"/>
    <w:basedOn w:val="741"/>
    <w:next w:val="741"/>
    <w:link w:val="741"/>
    <w:uiPriority w:val="39"/>
    <w:unhideWhenUsed/>
    <w:qFormat/>
    <w:pPr>
      <w:ind w:left="850" w:right="0" w:firstLine="0"/>
      <w:spacing w:after="57"/>
    </w:pPr>
  </w:style>
  <w:style w:type="paragraph" w:styleId="780">
    <w:name w:val="副标题"/>
    <w:basedOn w:val="741"/>
    <w:next w:val="741"/>
    <w:link w:val="781"/>
    <w:uiPriority w:val="11"/>
    <w:qFormat/>
    <w:pPr>
      <w:spacing w:before="200" w:after="200"/>
    </w:pPr>
    <w:rPr>
      <w:sz w:val="24"/>
      <w:szCs w:val="24"/>
    </w:rPr>
  </w:style>
  <w:style w:type="character" w:styleId="781">
    <w:name w:val="副标题 Char"/>
    <w:basedOn w:val="751"/>
    <w:next w:val="781"/>
    <w:link w:val="780"/>
    <w:uiPriority w:val="11"/>
    <w:qFormat/>
    <w:rPr>
      <w:sz w:val="24"/>
      <w:szCs w:val="24"/>
    </w:rPr>
  </w:style>
  <w:style w:type="paragraph" w:styleId="782">
    <w:name w:val="脚注文本"/>
    <w:basedOn w:val="741"/>
    <w:next w:val="782"/>
    <w:link w:val="783"/>
    <w:uiPriority w:val="99"/>
    <w:unhideWhenUsed/>
    <w:qFormat/>
    <w:pPr>
      <w:spacing w:after="40" w:line="240" w:lineRule="auto"/>
    </w:pPr>
    <w:rPr>
      <w:rFonts w:ascii="Times New Roman" w:hAnsi="Times New Roman"/>
      <w:sz w:val="18"/>
      <w:szCs w:val="20"/>
    </w:rPr>
  </w:style>
  <w:style w:type="character" w:styleId="783">
    <w:name w:val="脚注文本 Char"/>
    <w:next w:val="783"/>
    <w:link w:val="782"/>
    <w:uiPriority w:val="99"/>
    <w:qFormat/>
    <w:rPr>
      <w:sz w:val="18"/>
    </w:rPr>
  </w:style>
  <w:style w:type="paragraph" w:styleId="784">
    <w:name w:val="目录 6"/>
    <w:basedOn w:val="741"/>
    <w:next w:val="741"/>
    <w:link w:val="741"/>
    <w:uiPriority w:val="39"/>
    <w:unhideWhenUsed/>
    <w:qFormat/>
    <w:pPr>
      <w:ind w:left="1417" w:right="0" w:firstLine="0"/>
      <w:spacing w:after="57"/>
    </w:pPr>
  </w:style>
  <w:style w:type="paragraph" w:styleId="785">
    <w:name w:val="图表目录"/>
    <w:basedOn w:val="741"/>
    <w:next w:val="741"/>
    <w:link w:val="741"/>
    <w:uiPriority w:val="99"/>
    <w:unhideWhenUsed/>
    <w:qFormat/>
    <w:pPr>
      <w:spacing w:after="0" w:afterAutospacing="0"/>
    </w:pPr>
  </w:style>
  <w:style w:type="paragraph" w:styleId="786">
    <w:name w:val="目录 2"/>
    <w:basedOn w:val="741"/>
    <w:next w:val="741"/>
    <w:link w:val="741"/>
    <w:uiPriority w:val="39"/>
    <w:qFormat/>
    <w:pPr>
      <w:ind w:left="420"/>
    </w:pPr>
  </w:style>
  <w:style w:type="paragraph" w:styleId="787">
    <w:name w:val="目录 9"/>
    <w:basedOn w:val="741"/>
    <w:next w:val="741"/>
    <w:link w:val="741"/>
    <w:uiPriority w:val="39"/>
    <w:unhideWhenUsed/>
    <w:qFormat/>
    <w:pPr>
      <w:ind w:left="2268" w:right="0" w:firstLine="0"/>
      <w:spacing w:after="57"/>
    </w:pPr>
  </w:style>
  <w:style w:type="paragraph" w:styleId="788">
    <w:name w:val="普通(网站)"/>
    <w:basedOn w:val="741"/>
    <w:next w:val="788"/>
    <w:link w:val="741"/>
    <w:qFormat/>
    <w:rPr>
      <w:rFonts w:ascii="Times New Roman" w:hAnsi="Times New Roman"/>
      <w:sz w:val="24"/>
    </w:rPr>
  </w:style>
  <w:style w:type="paragraph" w:styleId="789">
    <w:name w:val="标题"/>
    <w:basedOn w:val="741"/>
    <w:next w:val="741"/>
    <w:link w:val="790"/>
    <w:uiPriority w:val="10"/>
    <w:qFormat/>
    <w:pPr>
      <w:contextualSpacing/>
      <w:spacing w:before="300" w:after="200"/>
    </w:pPr>
    <w:rPr>
      <w:sz w:val="48"/>
      <w:szCs w:val="48"/>
    </w:rPr>
  </w:style>
  <w:style w:type="character" w:styleId="790">
    <w:name w:val="标题 Char"/>
    <w:basedOn w:val="751"/>
    <w:next w:val="790"/>
    <w:link w:val="789"/>
    <w:uiPriority w:val="10"/>
    <w:qFormat/>
    <w:rPr>
      <w:sz w:val="48"/>
      <w:szCs w:val="48"/>
    </w:rPr>
  </w:style>
  <w:style w:type="paragraph" w:styleId="791">
    <w:name w:val="正文首行缩进 2"/>
    <w:basedOn w:val="766"/>
    <w:next w:val="791"/>
    <w:link w:val="741"/>
    <w:qFormat/>
    <w:pPr>
      <w:ind w:firstLine="420"/>
      <w:spacing w:before="100" w:beforeAutospacing="1"/>
    </w:pPr>
    <w:rPr>
      <w:rFonts w:ascii="Times New Roman" w:hAnsi="Times New Roman" w:eastAsia="宋体"/>
      <w:sz w:val="20"/>
      <w:szCs w:val="21"/>
    </w:rPr>
  </w:style>
  <w:style w:type="table" w:styleId="792">
    <w:name w:val="网格型"/>
    <w:basedOn w:val="752"/>
    <w:next w:val="792"/>
    <w:link w:val="741"/>
    <w:uiPriority w:val="59"/>
    <w:qFormat/>
    <w:tblPr/>
  </w:style>
  <w:style w:type="character" w:styleId="793">
    <w:name w:val="要点"/>
    <w:next w:val="793"/>
    <w:link w:val="741"/>
    <w:qFormat/>
    <w:rPr>
      <w:b/>
    </w:rPr>
  </w:style>
  <w:style w:type="character" w:styleId="794">
    <w:name w:val="尾注引用"/>
    <w:basedOn w:val="751"/>
    <w:next w:val="794"/>
    <w:link w:val="741"/>
    <w:uiPriority w:val="99"/>
    <w:unhideWhenUsed/>
    <w:qFormat/>
    <w:rPr>
      <w:vertAlign w:val="superscript"/>
    </w:rPr>
  </w:style>
  <w:style w:type="character" w:styleId="795">
    <w:name w:val="强调"/>
    <w:basedOn w:val="751"/>
    <w:next w:val="795"/>
    <w:link w:val="741"/>
    <w:uiPriority w:val="20"/>
    <w:qFormat/>
    <w:rPr>
      <w:i/>
    </w:rPr>
  </w:style>
  <w:style w:type="character" w:styleId="796">
    <w:name w:val="超链接"/>
    <w:basedOn w:val="751"/>
    <w:next w:val="796"/>
    <w:link w:val="741"/>
    <w:qFormat/>
    <w:rPr>
      <w:color w:val="0563c1"/>
      <w:u w:val="single"/>
    </w:rPr>
  </w:style>
  <w:style w:type="character" w:styleId="797">
    <w:name w:val="批注引用"/>
    <w:basedOn w:val="751"/>
    <w:next w:val="797"/>
    <w:link w:val="741"/>
    <w:qFormat/>
    <w:rPr>
      <w:sz w:val="21"/>
      <w:szCs w:val="21"/>
    </w:rPr>
  </w:style>
  <w:style w:type="character" w:styleId="798">
    <w:name w:val="脚注引用"/>
    <w:basedOn w:val="751"/>
    <w:next w:val="798"/>
    <w:link w:val="741"/>
    <w:uiPriority w:val="99"/>
    <w:unhideWhenUsed/>
    <w:qFormat/>
    <w:rPr>
      <w:vertAlign w:val="superscript"/>
    </w:rPr>
  </w:style>
  <w:style w:type="paragraph" w:styleId="799">
    <w:name w:val="正文1"/>
    <w:basedOn w:val="741"/>
    <w:next w:val="800"/>
    <w:link w:val="741"/>
    <w:qFormat/>
    <w:pPr>
      <w:jc w:val="left"/>
      <w:spacing w:line="360" w:lineRule="atLeast"/>
    </w:pPr>
    <w:rPr>
      <w:rFonts w:ascii="宋体" w:hAnsi="Calibri" w:eastAsia="宋体" w:cs="Times New Roman"/>
      <w:sz w:val="24"/>
      <w:szCs w:val="20"/>
    </w:rPr>
  </w:style>
  <w:style w:type="paragraph" w:styleId="800">
    <w:name w:val="正文文本1"/>
    <w:basedOn w:val="799"/>
    <w:next w:val="801"/>
    <w:link w:val="741"/>
    <w:qFormat/>
    <w:pPr>
      <w:spacing w:after="120"/>
    </w:pPr>
    <w:rPr>
      <w:lang w:eastAsia="en-US"/>
    </w:rPr>
  </w:style>
  <w:style w:type="paragraph" w:styleId="801">
    <w:name w:val="一级条标题"/>
    <w:basedOn w:val="802"/>
    <w:next w:val="803"/>
    <w:link w:val="74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2">
    <w:name w:val="章标题"/>
    <w:next w:val="799"/>
    <w:link w:val="74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03">
    <w:name w:val="段"/>
    <w:basedOn w:val="799"/>
    <w:next w:val="799"/>
    <w:link w:val="741"/>
    <w:qFormat/>
    <w:pPr>
      <w:ind w:firstLine="200"/>
      <w:widowControl/>
    </w:pPr>
    <w:rPr>
      <w:sz w:val="20"/>
    </w:rPr>
  </w:style>
  <w:style w:type="character" w:styleId="804">
    <w:name w:val="Heading 1 Char"/>
    <w:basedOn w:val="751"/>
    <w:next w:val="804"/>
    <w:link w:val="741"/>
    <w:uiPriority w:val="9"/>
    <w:qFormat/>
    <w:rPr>
      <w:rFonts w:ascii="Arial" w:hAnsi="Arial" w:eastAsia="Arial" w:cs="Arial"/>
      <w:sz w:val="40"/>
      <w:szCs w:val="40"/>
    </w:rPr>
  </w:style>
  <w:style w:type="character" w:styleId="805">
    <w:name w:val="Heading 2 Char"/>
    <w:basedOn w:val="751"/>
    <w:next w:val="805"/>
    <w:link w:val="741"/>
    <w:uiPriority w:val="9"/>
    <w:qFormat/>
    <w:rPr>
      <w:rFonts w:ascii="Arial" w:hAnsi="Arial" w:eastAsia="Arial" w:cs="Arial"/>
      <w:sz w:val="34"/>
    </w:rPr>
  </w:style>
  <w:style w:type="character" w:styleId="806">
    <w:name w:val="Heading 3 Char"/>
    <w:basedOn w:val="751"/>
    <w:next w:val="806"/>
    <w:link w:val="741"/>
    <w:uiPriority w:val="9"/>
    <w:qFormat/>
    <w:rPr>
      <w:rFonts w:ascii="Arial" w:hAnsi="Arial" w:eastAsia="Arial" w:cs="Arial"/>
      <w:sz w:val="30"/>
      <w:szCs w:val="30"/>
    </w:rPr>
  </w:style>
  <w:style w:type="paragraph" w:styleId="807">
    <w:name w:val="无间隔"/>
    <w:next w:val="807"/>
    <w:link w:val="741"/>
    <w:uiPriority w:val="1"/>
    <w:qFormat/>
    <w:rPr>
      <w:lang w:val="en-US" w:eastAsia="zh-CN" w:bidi="ar-SA"/>
    </w:rPr>
  </w:style>
  <w:style w:type="paragraph" w:styleId="808">
    <w:name w:val="引用"/>
    <w:basedOn w:val="741"/>
    <w:next w:val="741"/>
    <w:link w:val="809"/>
    <w:uiPriority w:val="29"/>
    <w:qFormat/>
    <w:pPr>
      <w:ind w:left="720" w:right="720"/>
    </w:pPr>
    <w:rPr>
      <w:rFonts w:ascii="Times New Roman" w:hAnsi="Times New Roman"/>
      <w:i/>
      <w:sz w:val="20"/>
      <w:szCs w:val="20"/>
    </w:rPr>
  </w:style>
  <w:style w:type="character" w:styleId="809">
    <w:name w:val="引用 Char"/>
    <w:next w:val="809"/>
    <w:link w:val="808"/>
    <w:uiPriority w:val="29"/>
    <w:qFormat/>
    <w:rPr>
      <w:i/>
    </w:rPr>
  </w:style>
  <w:style w:type="paragraph" w:styleId="810">
    <w:name w:val="明显引用"/>
    <w:basedOn w:val="741"/>
    <w:next w:val="741"/>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11">
    <w:name w:val="明显引用 Char"/>
    <w:next w:val="811"/>
    <w:link w:val="810"/>
    <w:uiPriority w:val="30"/>
    <w:qFormat/>
    <w:rPr>
      <w:i/>
    </w:rPr>
  </w:style>
  <w:style w:type="character" w:styleId="812">
    <w:name w:val="Header Char"/>
    <w:basedOn w:val="751"/>
    <w:next w:val="812"/>
    <w:link w:val="741"/>
    <w:uiPriority w:val="99"/>
    <w:qFormat/>
  </w:style>
  <w:style w:type="character" w:styleId="813">
    <w:name w:val="Footer Char"/>
    <w:basedOn w:val="751"/>
    <w:next w:val="813"/>
    <w:link w:val="741"/>
    <w:uiPriority w:val="99"/>
    <w:qFormat/>
  </w:style>
  <w:style w:type="character" w:styleId="814">
    <w:name w:val="Caption Char"/>
    <w:next w:val="814"/>
    <w:link w:val="741"/>
    <w:uiPriority w:val="99"/>
    <w:qFormat/>
  </w:style>
  <w:style w:type="table" w:styleId="815">
    <w:name w:val="Table Grid Light"/>
    <w:basedOn w:val="752"/>
    <w:next w:val="815"/>
    <w:link w:val="741"/>
    <w:uiPriority w:val="59"/>
    <w:qFormat/>
    <w:pPr>
      <w:spacing w:after="0" w:line="240" w:lineRule="auto"/>
    </w:pPr>
    <w:tblPr/>
  </w:style>
  <w:style w:type="table" w:styleId="816">
    <w:name w:val="Plain Table 1"/>
    <w:basedOn w:val="752"/>
    <w:next w:val="816"/>
    <w:link w:val="741"/>
    <w:uiPriority w:val="59"/>
    <w:qFormat/>
    <w:pPr>
      <w:spacing w:after="0" w:line="240" w:lineRule="auto"/>
    </w:pPr>
    <w:tblPr/>
  </w:style>
  <w:style w:type="table" w:styleId="817">
    <w:name w:val="Plain Table 2"/>
    <w:basedOn w:val="752"/>
    <w:next w:val="817"/>
    <w:link w:val="741"/>
    <w:uiPriority w:val="59"/>
    <w:qFormat/>
    <w:pPr>
      <w:spacing w:after="0" w:line="240" w:lineRule="auto"/>
    </w:pPr>
    <w:tblPr/>
  </w:style>
  <w:style w:type="table" w:styleId="818">
    <w:name w:val="Plain Table 3"/>
    <w:basedOn w:val="752"/>
    <w:next w:val="818"/>
    <w:link w:val="741"/>
    <w:uiPriority w:val="99"/>
    <w:qFormat/>
    <w:pPr>
      <w:spacing w:after="0" w:line="240" w:lineRule="auto"/>
    </w:pPr>
    <w:tblPr/>
  </w:style>
  <w:style w:type="table" w:styleId="819">
    <w:name w:val="Plain Table 4"/>
    <w:basedOn w:val="752"/>
    <w:next w:val="819"/>
    <w:link w:val="741"/>
    <w:uiPriority w:val="99"/>
    <w:qFormat/>
    <w:pPr>
      <w:spacing w:after="0" w:line="240" w:lineRule="auto"/>
    </w:pPr>
    <w:tblPr/>
  </w:style>
  <w:style w:type="table" w:styleId="820">
    <w:name w:val="Plain Table 5"/>
    <w:basedOn w:val="752"/>
    <w:next w:val="820"/>
    <w:link w:val="741"/>
    <w:uiPriority w:val="99"/>
    <w:qFormat/>
    <w:tblPr/>
  </w:style>
  <w:style w:type="table" w:styleId="821">
    <w:name w:val="Grid Table 1 Light"/>
    <w:basedOn w:val="752"/>
    <w:next w:val="821"/>
    <w:link w:val="741"/>
    <w:uiPriority w:val="99"/>
    <w:qFormat/>
    <w:pPr>
      <w:spacing w:after="0" w:line="240" w:lineRule="auto"/>
    </w:pPr>
    <w:tblPr/>
  </w:style>
  <w:style w:type="table" w:styleId="822">
    <w:name w:val="Grid Table 1 Light - Accent 1"/>
    <w:basedOn w:val="752"/>
    <w:next w:val="822"/>
    <w:link w:val="741"/>
    <w:uiPriority w:val="99"/>
    <w:qFormat/>
    <w:pPr>
      <w:spacing w:after="0" w:line="240" w:lineRule="auto"/>
    </w:pPr>
    <w:tblPr/>
  </w:style>
  <w:style w:type="table" w:styleId="823">
    <w:name w:val="Grid Table 1 Light - Accent 2"/>
    <w:basedOn w:val="752"/>
    <w:next w:val="823"/>
    <w:link w:val="741"/>
    <w:uiPriority w:val="99"/>
    <w:qFormat/>
    <w:pPr>
      <w:spacing w:after="0" w:line="240" w:lineRule="auto"/>
    </w:pPr>
    <w:tblPr/>
  </w:style>
  <w:style w:type="table" w:styleId="824">
    <w:name w:val="Grid Table 1 Light - Accent 3"/>
    <w:basedOn w:val="752"/>
    <w:next w:val="824"/>
    <w:link w:val="741"/>
    <w:uiPriority w:val="99"/>
    <w:qFormat/>
    <w:pPr>
      <w:spacing w:after="0" w:line="240" w:lineRule="auto"/>
    </w:pPr>
    <w:tblPr/>
  </w:style>
  <w:style w:type="table" w:styleId="825">
    <w:name w:val="Grid Table 1 Light - Accent 4"/>
    <w:basedOn w:val="752"/>
    <w:next w:val="825"/>
    <w:link w:val="741"/>
    <w:uiPriority w:val="99"/>
    <w:qFormat/>
    <w:pPr>
      <w:spacing w:after="0" w:line="240" w:lineRule="auto"/>
    </w:pPr>
    <w:tblPr/>
  </w:style>
  <w:style w:type="table" w:styleId="826">
    <w:name w:val="Grid Table 1 Light - Accent 5"/>
    <w:basedOn w:val="752"/>
    <w:next w:val="826"/>
    <w:link w:val="741"/>
    <w:uiPriority w:val="99"/>
    <w:qFormat/>
    <w:pPr>
      <w:spacing w:after="0" w:line="240" w:lineRule="auto"/>
    </w:pPr>
    <w:tblPr/>
  </w:style>
  <w:style w:type="table" w:styleId="827">
    <w:name w:val="Grid Table 1 Light - Accent 6"/>
    <w:basedOn w:val="752"/>
    <w:next w:val="827"/>
    <w:link w:val="741"/>
    <w:uiPriority w:val="99"/>
    <w:qFormat/>
    <w:pPr>
      <w:spacing w:after="0" w:line="240" w:lineRule="auto"/>
    </w:pPr>
    <w:tblPr/>
  </w:style>
  <w:style w:type="table" w:styleId="828">
    <w:name w:val="Grid Table 2"/>
    <w:basedOn w:val="752"/>
    <w:next w:val="828"/>
    <w:link w:val="741"/>
    <w:uiPriority w:val="99"/>
    <w:qFormat/>
    <w:pPr>
      <w:spacing w:after="0" w:line="240" w:lineRule="auto"/>
    </w:pPr>
    <w:tblPr/>
  </w:style>
  <w:style w:type="table" w:styleId="829">
    <w:name w:val="Grid Table 2 - Accent 1"/>
    <w:basedOn w:val="752"/>
    <w:next w:val="829"/>
    <w:link w:val="741"/>
    <w:uiPriority w:val="99"/>
    <w:qFormat/>
    <w:pPr>
      <w:spacing w:after="0" w:line="240" w:lineRule="auto"/>
    </w:pPr>
    <w:tblPr/>
  </w:style>
  <w:style w:type="table" w:styleId="830">
    <w:name w:val="Grid Table 2 - Accent 2"/>
    <w:basedOn w:val="752"/>
    <w:next w:val="830"/>
    <w:link w:val="741"/>
    <w:uiPriority w:val="99"/>
    <w:qFormat/>
    <w:pPr>
      <w:spacing w:after="0" w:line="240" w:lineRule="auto"/>
    </w:pPr>
    <w:tblPr/>
  </w:style>
  <w:style w:type="table" w:styleId="831">
    <w:name w:val="Grid Table 2 - Accent 3"/>
    <w:basedOn w:val="752"/>
    <w:next w:val="831"/>
    <w:link w:val="741"/>
    <w:uiPriority w:val="99"/>
    <w:qFormat/>
    <w:pPr>
      <w:spacing w:after="0" w:line="240" w:lineRule="auto"/>
    </w:pPr>
    <w:tblPr/>
  </w:style>
  <w:style w:type="table" w:styleId="832">
    <w:name w:val="Grid Table 2 - Accent 4"/>
    <w:basedOn w:val="752"/>
    <w:next w:val="832"/>
    <w:link w:val="741"/>
    <w:uiPriority w:val="99"/>
    <w:qFormat/>
    <w:pPr>
      <w:spacing w:after="0" w:line="240" w:lineRule="auto"/>
    </w:pPr>
    <w:tblPr/>
  </w:style>
  <w:style w:type="table" w:styleId="833">
    <w:name w:val="Grid Table 2 - Accent 5"/>
    <w:basedOn w:val="752"/>
    <w:next w:val="833"/>
    <w:link w:val="741"/>
    <w:uiPriority w:val="99"/>
    <w:qFormat/>
    <w:pPr>
      <w:spacing w:after="0" w:line="240" w:lineRule="auto"/>
    </w:pPr>
    <w:tblPr/>
  </w:style>
  <w:style w:type="table" w:styleId="834">
    <w:name w:val="Grid Table 2 - Accent 6"/>
    <w:basedOn w:val="752"/>
    <w:next w:val="834"/>
    <w:link w:val="741"/>
    <w:uiPriority w:val="99"/>
    <w:qFormat/>
    <w:pPr>
      <w:spacing w:after="0" w:line="240" w:lineRule="auto"/>
    </w:pPr>
    <w:tblPr/>
  </w:style>
  <w:style w:type="table" w:styleId="835">
    <w:name w:val="Grid Table 3"/>
    <w:basedOn w:val="752"/>
    <w:next w:val="835"/>
    <w:link w:val="741"/>
    <w:uiPriority w:val="99"/>
    <w:qFormat/>
    <w:tblPr/>
  </w:style>
  <w:style w:type="table" w:styleId="836">
    <w:name w:val="Grid Table 3 - Accent 1"/>
    <w:basedOn w:val="752"/>
    <w:next w:val="836"/>
    <w:link w:val="741"/>
    <w:uiPriority w:val="99"/>
    <w:qFormat/>
    <w:tblPr/>
  </w:style>
  <w:style w:type="table" w:styleId="837">
    <w:name w:val="Grid Table 3 - Accent 2"/>
    <w:basedOn w:val="752"/>
    <w:next w:val="837"/>
    <w:link w:val="741"/>
    <w:uiPriority w:val="99"/>
    <w:qFormat/>
    <w:tblPr/>
  </w:style>
  <w:style w:type="table" w:styleId="838">
    <w:name w:val="Grid Table 3 - Accent 3"/>
    <w:basedOn w:val="752"/>
    <w:next w:val="838"/>
    <w:link w:val="741"/>
    <w:uiPriority w:val="99"/>
    <w:qFormat/>
    <w:tblPr/>
  </w:style>
  <w:style w:type="table" w:styleId="839">
    <w:name w:val="Grid Table 3 - Accent 4"/>
    <w:basedOn w:val="752"/>
    <w:next w:val="839"/>
    <w:link w:val="741"/>
    <w:uiPriority w:val="99"/>
    <w:qFormat/>
    <w:tblPr/>
  </w:style>
  <w:style w:type="table" w:styleId="840">
    <w:name w:val="Grid Table 3 - Accent 5"/>
    <w:basedOn w:val="752"/>
    <w:next w:val="840"/>
    <w:link w:val="741"/>
    <w:uiPriority w:val="99"/>
    <w:qFormat/>
    <w:tblPr/>
  </w:style>
  <w:style w:type="table" w:styleId="841">
    <w:name w:val="Grid Table 3 - Accent 6"/>
    <w:basedOn w:val="752"/>
    <w:next w:val="841"/>
    <w:link w:val="741"/>
    <w:uiPriority w:val="99"/>
    <w:qFormat/>
    <w:tblPr/>
  </w:style>
  <w:style w:type="table" w:styleId="842">
    <w:name w:val="Grid Table 4"/>
    <w:basedOn w:val="752"/>
    <w:next w:val="842"/>
    <w:link w:val="741"/>
    <w:uiPriority w:val="59"/>
    <w:qFormat/>
    <w:pPr>
      <w:spacing w:after="0" w:line="240" w:lineRule="auto"/>
    </w:pPr>
    <w:tblPr/>
  </w:style>
  <w:style w:type="table" w:styleId="843">
    <w:name w:val="Grid Table 4 - Accent 1"/>
    <w:basedOn w:val="752"/>
    <w:next w:val="843"/>
    <w:link w:val="741"/>
    <w:uiPriority w:val="59"/>
    <w:qFormat/>
    <w:pPr>
      <w:spacing w:after="0" w:line="240" w:lineRule="auto"/>
    </w:pPr>
    <w:tblPr/>
  </w:style>
  <w:style w:type="table" w:styleId="844">
    <w:name w:val="Grid Table 4 - Accent 2"/>
    <w:basedOn w:val="752"/>
    <w:next w:val="844"/>
    <w:link w:val="741"/>
    <w:uiPriority w:val="59"/>
    <w:qFormat/>
    <w:pPr>
      <w:spacing w:after="0" w:line="240" w:lineRule="auto"/>
    </w:pPr>
    <w:tblPr/>
  </w:style>
  <w:style w:type="table" w:styleId="845">
    <w:name w:val="Grid Table 4 - Accent 3"/>
    <w:basedOn w:val="752"/>
    <w:next w:val="845"/>
    <w:link w:val="741"/>
    <w:uiPriority w:val="59"/>
    <w:qFormat/>
    <w:pPr>
      <w:spacing w:after="0" w:line="240" w:lineRule="auto"/>
    </w:pPr>
    <w:tblPr/>
  </w:style>
  <w:style w:type="table" w:styleId="846">
    <w:name w:val="Grid Table 4 - Accent 4"/>
    <w:basedOn w:val="752"/>
    <w:next w:val="846"/>
    <w:link w:val="741"/>
    <w:uiPriority w:val="59"/>
    <w:qFormat/>
    <w:pPr>
      <w:spacing w:after="0" w:line="240" w:lineRule="auto"/>
    </w:pPr>
    <w:tblPr/>
  </w:style>
  <w:style w:type="table" w:styleId="847">
    <w:name w:val="Grid Table 4 - Accent 5"/>
    <w:basedOn w:val="752"/>
    <w:next w:val="847"/>
    <w:link w:val="741"/>
    <w:uiPriority w:val="59"/>
    <w:qFormat/>
    <w:pPr>
      <w:spacing w:after="0" w:line="240" w:lineRule="auto"/>
    </w:pPr>
    <w:tblPr/>
  </w:style>
  <w:style w:type="table" w:styleId="848">
    <w:name w:val="Grid Table 4 - Accent 6"/>
    <w:basedOn w:val="752"/>
    <w:next w:val="848"/>
    <w:link w:val="741"/>
    <w:uiPriority w:val="59"/>
    <w:qFormat/>
    <w:pPr>
      <w:spacing w:after="0" w:line="240" w:lineRule="auto"/>
    </w:pPr>
    <w:tblPr/>
  </w:style>
  <w:style w:type="table" w:styleId="849">
    <w:name w:val="Grid Table 5 Dark"/>
    <w:basedOn w:val="752"/>
    <w:next w:val="849"/>
    <w:link w:val="741"/>
    <w:uiPriority w:val="99"/>
    <w:qFormat/>
    <w:pPr>
      <w:spacing w:after="0" w:line="240" w:lineRule="auto"/>
    </w:pPr>
    <w:tblPr/>
  </w:style>
  <w:style w:type="table" w:styleId="850">
    <w:name w:val="Grid Table 5 Dark- Accent 1"/>
    <w:basedOn w:val="752"/>
    <w:next w:val="850"/>
    <w:link w:val="741"/>
    <w:uiPriority w:val="99"/>
    <w:qFormat/>
    <w:pPr>
      <w:spacing w:after="0" w:line="240" w:lineRule="auto"/>
    </w:pPr>
    <w:tblPr/>
  </w:style>
  <w:style w:type="table" w:styleId="851">
    <w:name w:val="Grid Table 5 Dark - Accent 2"/>
    <w:basedOn w:val="752"/>
    <w:next w:val="851"/>
    <w:link w:val="741"/>
    <w:uiPriority w:val="99"/>
    <w:qFormat/>
    <w:pPr>
      <w:spacing w:after="0" w:line="240" w:lineRule="auto"/>
    </w:pPr>
    <w:tblPr/>
  </w:style>
  <w:style w:type="table" w:styleId="852">
    <w:name w:val="Grid Table 5 Dark - Accent 3"/>
    <w:basedOn w:val="752"/>
    <w:next w:val="852"/>
    <w:link w:val="741"/>
    <w:uiPriority w:val="99"/>
    <w:qFormat/>
    <w:pPr>
      <w:spacing w:after="0" w:line="240" w:lineRule="auto"/>
    </w:pPr>
    <w:tblPr/>
  </w:style>
  <w:style w:type="table" w:styleId="853">
    <w:name w:val="Grid Table 5 Dark- Accent 4"/>
    <w:basedOn w:val="752"/>
    <w:next w:val="853"/>
    <w:link w:val="741"/>
    <w:uiPriority w:val="99"/>
    <w:qFormat/>
    <w:pPr>
      <w:spacing w:after="0" w:line="240" w:lineRule="auto"/>
    </w:pPr>
    <w:tblPr/>
  </w:style>
  <w:style w:type="table" w:styleId="854">
    <w:name w:val="Grid Table 5 Dark - Accent 5"/>
    <w:basedOn w:val="752"/>
    <w:next w:val="854"/>
    <w:link w:val="741"/>
    <w:uiPriority w:val="99"/>
    <w:qFormat/>
    <w:pPr>
      <w:spacing w:after="0" w:line="240" w:lineRule="auto"/>
    </w:pPr>
    <w:tblPr/>
  </w:style>
  <w:style w:type="table" w:styleId="855">
    <w:name w:val="Grid Table 5 Dark - Accent 6"/>
    <w:basedOn w:val="752"/>
    <w:next w:val="855"/>
    <w:link w:val="741"/>
    <w:uiPriority w:val="99"/>
    <w:qFormat/>
    <w:pPr>
      <w:spacing w:after="0" w:line="240" w:lineRule="auto"/>
    </w:pPr>
    <w:tblPr/>
  </w:style>
  <w:style w:type="table" w:styleId="856">
    <w:name w:val="Grid Table 6 Colorful"/>
    <w:basedOn w:val="752"/>
    <w:next w:val="856"/>
    <w:link w:val="741"/>
    <w:uiPriority w:val="99"/>
    <w:qFormat/>
    <w:pPr>
      <w:spacing w:after="0" w:line="240" w:lineRule="auto"/>
    </w:pPr>
    <w:tblPr/>
  </w:style>
  <w:style w:type="table" w:styleId="857">
    <w:name w:val="Grid Table 6 Colorful - Accent 1"/>
    <w:basedOn w:val="752"/>
    <w:next w:val="857"/>
    <w:link w:val="741"/>
    <w:uiPriority w:val="99"/>
    <w:qFormat/>
    <w:pPr>
      <w:spacing w:after="0" w:line="240" w:lineRule="auto"/>
    </w:pPr>
    <w:tblPr/>
  </w:style>
  <w:style w:type="table" w:styleId="858">
    <w:name w:val="Grid Table 6 Colorful - Accent 2"/>
    <w:basedOn w:val="752"/>
    <w:next w:val="858"/>
    <w:link w:val="741"/>
    <w:uiPriority w:val="99"/>
    <w:qFormat/>
    <w:pPr>
      <w:spacing w:after="0" w:line="240" w:lineRule="auto"/>
    </w:pPr>
    <w:tblPr/>
  </w:style>
  <w:style w:type="table" w:styleId="859">
    <w:name w:val="Grid Table 6 Colorful - Accent 3"/>
    <w:basedOn w:val="752"/>
    <w:next w:val="859"/>
    <w:link w:val="741"/>
    <w:uiPriority w:val="99"/>
    <w:qFormat/>
    <w:pPr>
      <w:spacing w:after="0" w:line="240" w:lineRule="auto"/>
    </w:pPr>
    <w:tblPr/>
  </w:style>
  <w:style w:type="table" w:styleId="860">
    <w:name w:val="Grid Table 6 Colorful - Accent 4"/>
    <w:basedOn w:val="752"/>
    <w:next w:val="860"/>
    <w:link w:val="741"/>
    <w:uiPriority w:val="99"/>
    <w:qFormat/>
    <w:pPr>
      <w:spacing w:after="0" w:line="240" w:lineRule="auto"/>
    </w:pPr>
    <w:tblPr/>
  </w:style>
  <w:style w:type="table" w:styleId="861">
    <w:name w:val="Grid Table 6 Colorful - Accent 5"/>
    <w:basedOn w:val="752"/>
    <w:next w:val="861"/>
    <w:link w:val="741"/>
    <w:uiPriority w:val="99"/>
    <w:qFormat/>
    <w:pPr>
      <w:spacing w:after="0" w:line="240" w:lineRule="auto"/>
    </w:pPr>
    <w:tblPr/>
  </w:style>
  <w:style w:type="table" w:styleId="862">
    <w:name w:val="Grid Table 6 Colorful - Accent 6"/>
    <w:basedOn w:val="752"/>
    <w:next w:val="862"/>
    <w:link w:val="741"/>
    <w:uiPriority w:val="99"/>
    <w:qFormat/>
    <w:pPr>
      <w:spacing w:after="0" w:line="240" w:lineRule="auto"/>
    </w:pPr>
    <w:tblPr/>
  </w:style>
  <w:style w:type="table" w:styleId="863">
    <w:name w:val="Grid Table 7 Colorful"/>
    <w:basedOn w:val="752"/>
    <w:next w:val="863"/>
    <w:link w:val="741"/>
    <w:uiPriority w:val="99"/>
    <w:qFormat/>
    <w:tblPr/>
  </w:style>
  <w:style w:type="table" w:styleId="864">
    <w:name w:val="Grid Table 7 Colorful - Accent 1"/>
    <w:basedOn w:val="752"/>
    <w:next w:val="864"/>
    <w:link w:val="741"/>
    <w:uiPriority w:val="99"/>
    <w:qFormat/>
    <w:tblPr/>
  </w:style>
  <w:style w:type="table" w:styleId="865">
    <w:name w:val="Grid Table 7 Colorful - Accent 2"/>
    <w:basedOn w:val="752"/>
    <w:next w:val="865"/>
    <w:link w:val="741"/>
    <w:uiPriority w:val="99"/>
    <w:qFormat/>
    <w:tblPr/>
  </w:style>
  <w:style w:type="table" w:styleId="866">
    <w:name w:val="Grid Table 7 Colorful - Accent 3"/>
    <w:basedOn w:val="752"/>
    <w:next w:val="866"/>
    <w:link w:val="741"/>
    <w:uiPriority w:val="99"/>
    <w:qFormat/>
    <w:tblPr/>
  </w:style>
  <w:style w:type="table" w:styleId="867">
    <w:name w:val="Grid Table 7 Colorful - Accent 4"/>
    <w:basedOn w:val="752"/>
    <w:next w:val="867"/>
    <w:link w:val="741"/>
    <w:uiPriority w:val="99"/>
    <w:qFormat/>
    <w:tblPr/>
  </w:style>
  <w:style w:type="table" w:styleId="868">
    <w:name w:val="Grid Table 7 Colorful - Accent 5"/>
    <w:basedOn w:val="752"/>
    <w:next w:val="868"/>
    <w:link w:val="741"/>
    <w:uiPriority w:val="99"/>
    <w:qFormat/>
    <w:tblPr/>
  </w:style>
  <w:style w:type="table" w:styleId="869">
    <w:name w:val="Grid Table 7 Colorful - Accent 6"/>
    <w:basedOn w:val="752"/>
    <w:next w:val="869"/>
    <w:link w:val="741"/>
    <w:uiPriority w:val="99"/>
    <w:qFormat/>
    <w:tblPr/>
  </w:style>
  <w:style w:type="table" w:styleId="870">
    <w:name w:val="List Table 1 Light"/>
    <w:basedOn w:val="752"/>
    <w:next w:val="870"/>
    <w:link w:val="741"/>
    <w:uiPriority w:val="99"/>
    <w:qFormat/>
    <w:pPr>
      <w:spacing w:after="0" w:line="240" w:lineRule="auto"/>
    </w:pPr>
    <w:tblPr/>
  </w:style>
  <w:style w:type="table" w:styleId="871">
    <w:name w:val="List Table 1 Light - Accent 1"/>
    <w:basedOn w:val="752"/>
    <w:next w:val="871"/>
    <w:link w:val="741"/>
    <w:uiPriority w:val="99"/>
    <w:qFormat/>
    <w:pPr>
      <w:spacing w:after="0" w:line="240" w:lineRule="auto"/>
    </w:pPr>
    <w:tblPr/>
  </w:style>
  <w:style w:type="table" w:styleId="872">
    <w:name w:val="List Table 1 Light - Accent 2"/>
    <w:basedOn w:val="752"/>
    <w:next w:val="872"/>
    <w:link w:val="741"/>
    <w:uiPriority w:val="99"/>
    <w:qFormat/>
    <w:pPr>
      <w:spacing w:after="0" w:line="240" w:lineRule="auto"/>
    </w:pPr>
    <w:tblPr/>
  </w:style>
  <w:style w:type="table" w:styleId="873">
    <w:name w:val="List Table 1 Light - Accent 3"/>
    <w:basedOn w:val="752"/>
    <w:next w:val="873"/>
    <w:link w:val="741"/>
    <w:uiPriority w:val="99"/>
    <w:qFormat/>
    <w:pPr>
      <w:spacing w:after="0" w:line="240" w:lineRule="auto"/>
    </w:pPr>
    <w:tblPr/>
  </w:style>
  <w:style w:type="table" w:styleId="874">
    <w:name w:val="List Table 1 Light - Accent 4"/>
    <w:basedOn w:val="752"/>
    <w:next w:val="874"/>
    <w:link w:val="741"/>
    <w:uiPriority w:val="99"/>
    <w:qFormat/>
    <w:pPr>
      <w:spacing w:after="0" w:line="240" w:lineRule="auto"/>
    </w:pPr>
    <w:tblPr/>
  </w:style>
  <w:style w:type="table" w:styleId="875">
    <w:name w:val="List Table 1 Light - Accent 5"/>
    <w:basedOn w:val="752"/>
    <w:next w:val="875"/>
    <w:link w:val="741"/>
    <w:uiPriority w:val="99"/>
    <w:qFormat/>
    <w:pPr>
      <w:spacing w:after="0" w:line="240" w:lineRule="auto"/>
    </w:pPr>
    <w:tblPr/>
  </w:style>
  <w:style w:type="table" w:styleId="876">
    <w:name w:val="List Table 1 Light - Accent 6"/>
    <w:basedOn w:val="752"/>
    <w:next w:val="876"/>
    <w:link w:val="741"/>
    <w:uiPriority w:val="99"/>
    <w:qFormat/>
    <w:pPr>
      <w:spacing w:after="0" w:line="240" w:lineRule="auto"/>
    </w:pPr>
    <w:tblPr/>
  </w:style>
  <w:style w:type="table" w:styleId="877">
    <w:name w:val="List Table 2"/>
    <w:basedOn w:val="752"/>
    <w:next w:val="877"/>
    <w:link w:val="741"/>
    <w:uiPriority w:val="99"/>
    <w:qFormat/>
    <w:pPr>
      <w:spacing w:after="0" w:line="240" w:lineRule="auto"/>
    </w:pPr>
    <w:tblPr/>
  </w:style>
  <w:style w:type="table" w:styleId="878">
    <w:name w:val="List Table 2 - Accent 1"/>
    <w:basedOn w:val="752"/>
    <w:next w:val="878"/>
    <w:link w:val="741"/>
    <w:uiPriority w:val="99"/>
    <w:qFormat/>
    <w:pPr>
      <w:spacing w:after="0" w:line="240" w:lineRule="auto"/>
    </w:pPr>
    <w:tblPr/>
  </w:style>
  <w:style w:type="table" w:styleId="879">
    <w:name w:val="List Table 2 - Accent 2"/>
    <w:basedOn w:val="752"/>
    <w:next w:val="879"/>
    <w:link w:val="741"/>
    <w:uiPriority w:val="99"/>
    <w:qFormat/>
    <w:pPr>
      <w:spacing w:after="0" w:line="240" w:lineRule="auto"/>
    </w:pPr>
    <w:tblPr/>
  </w:style>
  <w:style w:type="table" w:styleId="880">
    <w:name w:val="List Table 2 - Accent 3"/>
    <w:basedOn w:val="752"/>
    <w:next w:val="880"/>
    <w:link w:val="741"/>
    <w:uiPriority w:val="99"/>
    <w:qFormat/>
    <w:pPr>
      <w:spacing w:after="0" w:line="240" w:lineRule="auto"/>
    </w:pPr>
    <w:tblPr/>
  </w:style>
  <w:style w:type="table" w:styleId="881">
    <w:name w:val="List Table 2 - Accent 4"/>
    <w:basedOn w:val="752"/>
    <w:next w:val="881"/>
    <w:link w:val="741"/>
    <w:uiPriority w:val="99"/>
    <w:qFormat/>
    <w:pPr>
      <w:spacing w:after="0" w:line="240" w:lineRule="auto"/>
    </w:pPr>
    <w:tblPr/>
  </w:style>
  <w:style w:type="table" w:styleId="882">
    <w:name w:val="List Table 2 - Accent 5"/>
    <w:basedOn w:val="752"/>
    <w:next w:val="882"/>
    <w:link w:val="741"/>
    <w:uiPriority w:val="99"/>
    <w:qFormat/>
    <w:pPr>
      <w:spacing w:after="0" w:line="240" w:lineRule="auto"/>
    </w:pPr>
    <w:tblPr/>
  </w:style>
  <w:style w:type="table" w:styleId="883">
    <w:name w:val="List Table 2 - Accent 6"/>
    <w:basedOn w:val="752"/>
    <w:next w:val="883"/>
    <w:link w:val="741"/>
    <w:uiPriority w:val="99"/>
    <w:qFormat/>
    <w:pPr>
      <w:spacing w:after="0" w:line="240" w:lineRule="auto"/>
    </w:pPr>
    <w:tblPr/>
  </w:style>
  <w:style w:type="table" w:styleId="884">
    <w:name w:val="List Table 3"/>
    <w:basedOn w:val="752"/>
    <w:next w:val="884"/>
    <w:link w:val="741"/>
    <w:uiPriority w:val="99"/>
    <w:qFormat/>
    <w:pPr>
      <w:spacing w:after="0" w:line="240" w:lineRule="auto"/>
    </w:pPr>
    <w:tblPr/>
  </w:style>
  <w:style w:type="table" w:styleId="885">
    <w:name w:val="List Table 3 - Accent 1"/>
    <w:basedOn w:val="752"/>
    <w:next w:val="885"/>
    <w:link w:val="741"/>
    <w:uiPriority w:val="99"/>
    <w:qFormat/>
    <w:pPr>
      <w:spacing w:after="0" w:line="240" w:lineRule="auto"/>
    </w:pPr>
    <w:tblPr/>
  </w:style>
  <w:style w:type="table" w:styleId="886">
    <w:name w:val="List Table 3 - Accent 2"/>
    <w:basedOn w:val="752"/>
    <w:next w:val="886"/>
    <w:link w:val="741"/>
    <w:uiPriority w:val="99"/>
    <w:qFormat/>
    <w:pPr>
      <w:spacing w:after="0" w:line="240" w:lineRule="auto"/>
    </w:pPr>
    <w:tblPr/>
  </w:style>
  <w:style w:type="table" w:styleId="887">
    <w:name w:val="List Table 3 - Accent 3"/>
    <w:basedOn w:val="752"/>
    <w:next w:val="887"/>
    <w:link w:val="741"/>
    <w:uiPriority w:val="99"/>
    <w:qFormat/>
    <w:pPr>
      <w:spacing w:after="0" w:line="240" w:lineRule="auto"/>
    </w:pPr>
    <w:tblPr/>
  </w:style>
  <w:style w:type="table" w:styleId="888">
    <w:name w:val="List Table 3 - Accent 4"/>
    <w:basedOn w:val="752"/>
    <w:next w:val="888"/>
    <w:link w:val="741"/>
    <w:uiPriority w:val="99"/>
    <w:qFormat/>
    <w:pPr>
      <w:spacing w:after="0" w:line="240" w:lineRule="auto"/>
    </w:pPr>
    <w:tblPr/>
  </w:style>
  <w:style w:type="table" w:styleId="889">
    <w:name w:val="List Table 3 - Accent 5"/>
    <w:basedOn w:val="752"/>
    <w:next w:val="889"/>
    <w:link w:val="741"/>
    <w:uiPriority w:val="99"/>
    <w:qFormat/>
    <w:pPr>
      <w:spacing w:after="0" w:line="240" w:lineRule="auto"/>
    </w:pPr>
    <w:tblPr/>
  </w:style>
  <w:style w:type="table" w:styleId="890">
    <w:name w:val="List Table 3 - Accent 6"/>
    <w:basedOn w:val="752"/>
    <w:next w:val="890"/>
    <w:link w:val="741"/>
    <w:uiPriority w:val="99"/>
    <w:qFormat/>
    <w:pPr>
      <w:spacing w:after="0" w:line="240" w:lineRule="auto"/>
    </w:pPr>
    <w:tblPr/>
  </w:style>
  <w:style w:type="table" w:styleId="891">
    <w:name w:val="List Table 4"/>
    <w:basedOn w:val="752"/>
    <w:next w:val="891"/>
    <w:link w:val="741"/>
    <w:uiPriority w:val="99"/>
    <w:qFormat/>
    <w:pPr>
      <w:spacing w:after="0" w:line="240" w:lineRule="auto"/>
    </w:pPr>
    <w:tblPr/>
  </w:style>
  <w:style w:type="table" w:styleId="892">
    <w:name w:val="List Table 4 - Accent 1"/>
    <w:basedOn w:val="752"/>
    <w:next w:val="892"/>
    <w:link w:val="741"/>
    <w:uiPriority w:val="99"/>
    <w:qFormat/>
    <w:pPr>
      <w:spacing w:after="0" w:line="240" w:lineRule="auto"/>
    </w:pPr>
    <w:tblPr/>
  </w:style>
  <w:style w:type="table" w:styleId="893">
    <w:name w:val="List Table 4 - Accent 2"/>
    <w:basedOn w:val="752"/>
    <w:next w:val="893"/>
    <w:link w:val="741"/>
    <w:uiPriority w:val="99"/>
    <w:qFormat/>
    <w:pPr>
      <w:spacing w:after="0" w:line="240" w:lineRule="auto"/>
    </w:pPr>
    <w:tblPr/>
  </w:style>
  <w:style w:type="table" w:styleId="894">
    <w:name w:val="List Table 4 - Accent 3"/>
    <w:basedOn w:val="752"/>
    <w:next w:val="894"/>
    <w:link w:val="741"/>
    <w:uiPriority w:val="99"/>
    <w:qFormat/>
    <w:pPr>
      <w:spacing w:after="0" w:line="240" w:lineRule="auto"/>
    </w:pPr>
    <w:tblPr/>
  </w:style>
  <w:style w:type="table" w:styleId="895">
    <w:name w:val="List Table 4 - Accent 4"/>
    <w:basedOn w:val="752"/>
    <w:next w:val="895"/>
    <w:link w:val="741"/>
    <w:uiPriority w:val="99"/>
    <w:qFormat/>
    <w:pPr>
      <w:spacing w:after="0" w:line="240" w:lineRule="auto"/>
    </w:pPr>
    <w:tblPr/>
  </w:style>
  <w:style w:type="table" w:styleId="896">
    <w:name w:val="List Table 4 - Accent 5"/>
    <w:basedOn w:val="752"/>
    <w:next w:val="896"/>
    <w:link w:val="741"/>
    <w:uiPriority w:val="99"/>
    <w:qFormat/>
    <w:pPr>
      <w:spacing w:after="0" w:line="240" w:lineRule="auto"/>
    </w:pPr>
    <w:tblPr/>
  </w:style>
  <w:style w:type="table" w:styleId="897">
    <w:name w:val="List Table 4 - Accent 6"/>
    <w:basedOn w:val="752"/>
    <w:next w:val="897"/>
    <w:link w:val="741"/>
    <w:uiPriority w:val="99"/>
    <w:qFormat/>
    <w:pPr>
      <w:spacing w:after="0" w:line="240" w:lineRule="auto"/>
    </w:pPr>
    <w:tblPr/>
  </w:style>
  <w:style w:type="table" w:styleId="898">
    <w:name w:val="List Table 5 Dark"/>
    <w:basedOn w:val="752"/>
    <w:next w:val="898"/>
    <w:link w:val="741"/>
    <w:uiPriority w:val="99"/>
    <w:qFormat/>
    <w:pPr>
      <w:spacing w:after="0" w:line="240" w:lineRule="auto"/>
    </w:pPr>
    <w:tblPr/>
  </w:style>
  <w:style w:type="table" w:styleId="899">
    <w:name w:val="List Table 5 Dark - Accent 1"/>
    <w:basedOn w:val="752"/>
    <w:next w:val="899"/>
    <w:link w:val="741"/>
    <w:uiPriority w:val="99"/>
    <w:qFormat/>
    <w:pPr>
      <w:spacing w:after="0" w:line="240" w:lineRule="auto"/>
    </w:pPr>
    <w:tblPr/>
  </w:style>
  <w:style w:type="table" w:styleId="900">
    <w:name w:val="List Table 5 Dark - Accent 2"/>
    <w:basedOn w:val="752"/>
    <w:next w:val="900"/>
    <w:link w:val="741"/>
    <w:uiPriority w:val="99"/>
    <w:qFormat/>
    <w:pPr>
      <w:spacing w:after="0" w:line="240" w:lineRule="auto"/>
    </w:pPr>
    <w:tblPr/>
  </w:style>
  <w:style w:type="table" w:styleId="901">
    <w:name w:val="List Table 5 Dark - Accent 3"/>
    <w:basedOn w:val="752"/>
    <w:next w:val="901"/>
    <w:link w:val="741"/>
    <w:uiPriority w:val="99"/>
    <w:qFormat/>
    <w:pPr>
      <w:spacing w:after="0" w:line="240" w:lineRule="auto"/>
    </w:pPr>
    <w:tblPr/>
  </w:style>
  <w:style w:type="table" w:styleId="902">
    <w:name w:val="List Table 5 Dark - Accent 4"/>
    <w:basedOn w:val="752"/>
    <w:next w:val="902"/>
    <w:link w:val="741"/>
    <w:uiPriority w:val="99"/>
    <w:qFormat/>
    <w:pPr>
      <w:spacing w:after="0" w:line="240" w:lineRule="auto"/>
    </w:pPr>
    <w:tblPr/>
  </w:style>
  <w:style w:type="table" w:styleId="903">
    <w:name w:val="List Table 5 Dark - Accent 5"/>
    <w:basedOn w:val="752"/>
    <w:next w:val="903"/>
    <w:link w:val="741"/>
    <w:uiPriority w:val="99"/>
    <w:qFormat/>
    <w:pPr>
      <w:spacing w:after="0" w:line="240" w:lineRule="auto"/>
    </w:pPr>
    <w:tblPr/>
  </w:style>
  <w:style w:type="table" w:styleId="904">
    <w:name w:val="List Table 5 Dark - Accent 6"/>
    <w:basedOn w:val="752"/>
    <w:next w:val="904"/>
    <w:link w:val="741"/>
    <w:uiPriority w:val="99"/>
    <w:qFormat/>
    <w:pPr>
      <w:spacing w:after="0" w:line="240" w:lineRule="auto"/>
    </w:pPr>
    <w:tblPr/>
  </w:style>
  <w:style w:type="table" w:styleId="905">
    <w:name w:val="List Table 6 Colorful"/>
    <w:basedOn w:val="752"/>
    <w:next w:val="905"/>
    <w:link w:val="741"/>
    <w:uiPriority w:val="99"/>
    <w:qFormat/>
    <w:pPr>
      <w:spacing w:after="0" w:line="240" w:lineRule="auto"/>
    </w:pPr>
    <w:tblPr/>
  </w:style>
  <w:style w:type="table" w:styleId="906">
    <w:name w:val="List Table 6 Colorful - Accent 1"/>
    <w:basedOn w:val="752"/>
    <w:next w:val="906"/>
    <w:link w:val="741"/>
    <w:uiPriority w:val="99"/>
    <w:qFormat/>
    <w:pPr>
      <w:spacing w:after="0" w:line="240" w:lineRule="auto"/>
    </w:pPr>
    <w:tblPr/>
  </w:style>
  <w:style w:type="table" w:styleId="907">
    <w:name w:val="List Table 6 Colorful - Accent 2"/>
    <w:basedOn w:val="752"/>
    <w:next w:val="907"/>
    <w:link w:val="741"/>
    <w:uiPriority w:val="99"/>
    <w:qFormat/>
    <w:pPr>
      <w:spacing w:after="0" w:line="240" w:lineRule="auto"/>
    </w:pPr>
    <w:tblPr/>
  </w:style>
  <w:style w:type="table" w:styleId="908">
    <w:name w:val="List Table 6 Colorful - Accent 3"/>
    <w:basedOn w:val="752"/>
    <w:next w:val="908"/>
    <w:link w:val="741"/>
    <w:uiPriority w:val="99"/>
    <w:qFormat/>
    <w:pPr>
      <w:spacing w:after="0" w:line="240" w:lineRule="auto"/>
    </w:pPr>
    <w:tblPr/>
  </w:style>
  <w:style w:type="table" w:styleId="909">
    <w:name w:val="List Table 6 Colorful - Accent 4"/>
    <w:basedOn w:val="752"/>
    <w:next w:val="909"/>
    <w:link w:val="741"/>
    <w:uiPriority w:val="99"/>
    <w:qFormat/>
    <w:pPr>
      <w:spacing w:after="0" w:line="240" w:lineRule="auto"/>
    </w:pPr>
    <w:tblPr/>
  </w:style>
  <w:style w:type="table" w:styleId="910">
    <w:name w:val="List Table 6 Colorful - Accent 5"/>
    <w:basedOn w:val="752"/>
    <w:next w:val="910"/>
    <w:link w:val="741"/>
    <w:uiPriority w:val="99"/>
    <w:qFormat/>
    <w:pPr>
      <w:spacing w:after="0" w:line="240" w:lineRule="auto"/>
    </w:pPr>
    <w:tblPr/>
  </w:style>
  <w:style w:type="table" w:styleId="911">
    <w:name w:val="List Table 6 Colorful - Accent 6"/>
    <w:basedOn w:val="752"/>
    <w:next w:val="911"/>
    <w:link w:val="741"/>
    <w:uiPriority w:val="99"/>
    <w:qFormat/>
    <w:pPr>
      <w:spacing w:after="0" w:line="240" w:lineRule="auto"/>
    </w:pPr>
    <w:tblPr/>
  </w:style>
  <w:style w:type="table" w:styleId="912">
    <w:name w:val="List Table 7 Colorful"/>
    <w:basedOn w:val="752"/>
    <w:next w:val="912"/>
    <w:link w:val="741"/>
    <w:uiPriority w:val="99"/>
    <w:qFormat/>
    <w:tblPr/>
  </w:style>
  <w:style w:type="table" w:styleId="913">
    <w:name w:val="List Table 7 Colorful - Accent 1"/>
    <w:basedOn w:val="752"/>
    <w:next w:val="913"/>
    <w:link w:val="741"/>
    <w:uiPriority w:val="99"/>
    <w:qFormat/>
    <w:tblPr/>
  </w:style>
  <w:style w:type="table" w:styleId="914">
    <w:name w:val="List Table 7 Colorful - Accent 2"/>
    <w:basedOn w:val="752"/>
    <w:next w:val="914"/>
    <w:link w:val="741"/>
    <w:uiPriority w:val="99"/>
    <w:qFormat/>
    <w:tblPr/>
  </w:style>
  <w:style w:type="table" w:styleId="915">
    <w:name w:val="List Table 7 Colorful - Accent 3"/>
    <w:basedOn w:val="752"/>
    <w:next w:val="915"/>
    <w:link w:val="741"/>
    <w:uiPriority w:val="99"/>
    <w:qFormat/>
    <w:tblPr/>
  </w:style>
  <w:style w:type="table" w:styleId="916">
    <w:name w:val="List Table 7 Colorful - Accent 4"/>
    <w:basedOn w:val="752"/>
    <w:next w:val="916"/>
    <w:link w:val="741"/>
    <w:uiPriority w:val="99"/>
    <w:qFormat/>
    <w:tblPr/>
  </w:style>
  <w:style w:type="table" w:styleId="917">
    <w:name w:val="List Table 7 Colorful - Accent 5"/>
    <w:basedOn w:val="752"/>
    <w:next w:val="917"/>
    <w:link w:val="741"/>
    <w:uiPriority w:val="99"/>
    <w:qFormat/>
    <w:tblPr/>
  </w:style>
  <w:style w:type="table" w:styleId="918">
    <w:name w:val="List Table 7 Colorful - Accent 6"/>
    <w:basedOn w:val="752"/>
    <w:next w:val="918"/>
    <w:link w:val="741"/>
    <w:uiPriority w:val="99"/>
    <w:qFormat/>
    <w:tblPr/>
  </w:style>
  <w:style w:type="table" w:styleId="919">
    <w:name w:val="Lined - Accent"/>
    <w:basedOn w:val="752"/>
    <w:next w:val="919"/>
    <w:link w:val="741"/>
    <w:uiPriority w:val="99"/>
    <w:qFormat/>
    <w:pPr>
      <w:spacing w:after="0" w:line="240" w:lineRule="auto"/>
    </w:pPr>
    <w:rPr>
      <w:color w:val="404040"/>
    </w:rPr>
    <w:tblPr/>
  </w:style>
  <w:style w:type="table" w:styleId="920">
    <w:name w:val="Lined - Accent 1"/>
    <w:basedOn w:val="752"/>
    <w:next w:val="920"/>
    <w:link w:val="741"/>
    <w:uiPriority w:val="99"/>
    <w:qFormat/>
    <w:pPr>
      <w:spacing w:after="0" w:line="240" w:lineRule="auto"/>
    </w:pPr>
    <w:rPr>
      <w:color w:val="404040"/>
    </w:rPr>
    <w:tblPr/>
  </w:style>
  <w:style w:type="table" w:styleId="921">
    <w:name w:val="Lined - Accent 2"/>
    <w:basedOn w:val="752"/>
    <w:next w:val="921"/>
    <w:link w:val="741"/>
    <w:uiPriority w:val="99"/>
    <w:qFormat/>
    <w:pPr>
      <w:spacing w:after="0" w:line="240" w:lineRule="auto"/>
    </w:pPr>
    <w:rPr>
      <w:color w:val="404040"/>
    </w:rPr>
    <w:tblPr/>
  </w:style>
  <w:style w:type="table" w:styleId="922">
    <w:name w:val="Lined - Accent 3"/>
    <w:basedOn w:val="752"/>
    <w:next w:val="922"/>
    <w:link w:val="741"/>
    <w:uiPriority w:val="99"/>
    <w:qFormat/>
    <w:pPr>
      <w:spacing w:after="0" w:line="240" w:lineRule="auto"/>
    </w:pPr>
    <w:rPr>
      <w:color w:val="404040"/>
    </w:rPr>
    <w:tblPr/>
  </w:style>
  <w:style w:type="table" w:styleId="923">
    <w:name w:val="Lined - Accent 4"/>
    <w:basedOn w:val="752"/>
    <w:next w:val="923"/>
    <w:link w:val="741"/>
    <w:uiPriority w:val="99"/>
    <w:qFormat/>
    <w:pPr>
      <w:spacing w:after="0" w:line="240" w:lineRule="auto"/>
    </w:pPr>
    <w:rPr>
      <w:color w:val="404040"/>
    </w:rPr>
    <w:tblPr/>
  </w:style>
  <w:style w:type="table" w:styleId="924">
    <w:name w:val="Lined - Accent 5"/>
    <w:basedOn w:val="752"/>
    <w:next w:val="924"/>
    <w:link w:val="741"/>
    <w:uiPriority w:val="99"/>
    <w:qFormat/>
    <w:pPr>
      <w:spacing w:after="0" w:line="240" w:lineRule="auto"/>
    </w:pPr>
    <w:rPr>
      <w:color w:val="404040"/>
    </w:rPr>
    <w:tblPr/>
  </w:style>
  <w:style w:type="table" w:styleId="925">
    <w:name w:val="Lined - Accent 6"/>
    <w:basedOn w:val="752"/>
    <w:next w:val="925"/>
    <w:link w:val="741"/>
    <w:uiPriority w:val="99"/>
    <w:qFormat/>
    <w:pPr>
      <w:spacing w:after="0" w:line="240" w:lineRule="auto"/>
    </w:pPr>
    <w:rPr>
      <w:color w:val="404040"/>
    </w:rPr>
    <w:tblPr/>
  </w:style>
  <w:style w:type="table" w:styleId="926">
    <w:name w:val="Bordered &amp; Lined - Accent"/>
    <w:basedOn w:val="752"/>
    <w:next w:val="926"/>
    <w:link w:val="741"/>
    <w:uiPriority w:val="99"/>
    <w:qFormat/>
    <w:pPr>
      <w:spacing w:after="0" w:line="240" w:lineRule="auto"/>
    </w:pPr>
    <w:rPr>
      <w:color w:val="404040"/>
    </w:rPr>
    <w:tblPr/>
  </w:style>
  <w:style w:type="table" w:styleId="927">
    <w:name w:val="Bordered &amp; Lined - Accent 1"/>
    <w:basedOn w:val="752"/>
    <w:next w:val="927"/>
    <w:link w:val="741"/>
    <w:uiPriority w:val="99"/>
    <w:qFormat/>
    <w:pPr>
      <w:spacing w:after="0" w:line="240" w:lineRule="auto"/>
    </w:pPr>
    <w:rPr>
      <w:color w:val="404040"/>
    </w:rPr>
    <w:tblPr/>
  </w:style>
  <w:style w:type="table" w:styleId="928">
    <w:name w:val="Bordered &amp; Lined - Accent 2"/>
    <w:basedOn w:val="752"/>
    <w:next w:val="928"/>
    <w:link w:val="741"/>
    <w:uiPriority w:val="99"/>
    <w:qFormat/>
    <w:pPr>
      <w:spacing w:after="0" w:line="240" w:lineRule="auto"/>
    </w:pPr>
    <w:rPr>
      <w:color w:val="404040"/>
    </w:rPr>
    <w:tblPr/>
  </w:style>
  <w:style w:type="table" w:styleId="929">
    <w:name w:val="Bordered &amp; Lined - Accent 3"/>
    <w:basedOn w:val="752"/>
    <w:next w:val="929"/>
    <w:link w:val="741"/>
    <w:uiPriority w:val="99"/>
    <w:qFormat/>
    <w:pPr>
      <w:spacing w:after="0" w:line="240" w:lineRule="auto"/>
    </w:pPr>
    <w:rPr>
      <w:color w:val="404040"/>
    </w:rPr>
    <w:tblPr/>
  </w:style>
  <w:style w:type="table" w:styleId="930">
    <w:name w:val="Bordered &amp; Lined - Accent 4"/>
    <w:basedOn w:val="752"/>
    <w:next w:val="930"/>
    <w:link w:val="741"/>
    <w:uiPriority w:val="99"/>
    <w:qFormat/>
    <w:pPr>
      <w:spacing w:after="0" w:line="240" w:lineRule="auto"/>
    </w:pPr>
    <w:rPr>
      <w:color w:val="404040"/>
    </w:rPr>
    <w:tblPr/>
  </w:style>
  <w:style w:type="table" w:styleId="931">
    <w:name w:val="Bordered &amp; Lined - Accent 5"/>
    <w:basedOn w:val="752"/>
    <w:next w:val="931"/>
    <w:link w:val="741"/>
    <w:uiPriority w:val="99"/>
    <w:qFormat/>
    <w:pPr>
      <w:spacing w:after="0" w:line="240" w:lineRule="auto"/>
    </w:pPr>
    <w:rPr>
      <w:color w:val="404040"/>
    </w:rPr>
    <w:tblPr/>
  </w:style>
  <w:style w:type="table" w:styleId="932">
    <w:name w:val="Bordered &amp; Lined - Accent 6"/>
    <w:basedOn w:val="752"/>
    <w:next w:val="932"/>
    <w:link w:val="741"/>
    <w:uiPriority w:val="99"/>
    <w:qFormat/>
    <w:pPr>
      <w:spacing w:after="0" w:line="240" w:lineRule="auto"/>
    </w:pPr>
    <w:rPr>
      <w:color w:val="404040"/>
    </w:rPr>
    <w:tblPr/>
  </w:style>
  <w:style w:type="table" w:styleId="933">
    <w:name w:val="Bordered"/>
    <w:basedOn w:val="752"/>
    <w:next w:val="933"/>
    <w:link w:val="741"/>
    <w:uiPriority w:val="99"/>
    <w:qFormat/>
    <w:pPr>
      <w:spacing w:after="0" w:line="240" w:lineRule="auto"/>
    </w:pPr>
    <w:tblPr/>
  </w:style>
  <w:style w:type="table" w:styleId="934">
    <w:name w:val="Bordered - Accent 1"/>
    <w:basedOn w:val="752"/>
    <w:next w:val="934"/>
    <w:link w:val="741"/>
    <w:uiPriority w:val="99"/>
    <w:qFormat/>
    <w:pPr>
      <w:spacing w:after="0" w:line="240" w:lineRule="auto"/>
    </w:pPr>
    <w:tblPr/>
  </w:style>
  <w:style w:type="table" w:styleId="935">
    <w:name w:val="Bordered - Accent 2"/>
    <w:basedOn w:val="752"/>
    <w:next w:val="935"/>
    <w:link w:val="741"/>
    <w:uiPriority w:val="99"/>
    <w:qFormat/>
    <w:pPr>
      <w:spacing w:after="0" w:line="240" w:lineRule="auto"/>
    </w:pPr>
    <w:tblPr/>
  </w:style>
  <w:style w:type="table" w:styleId="936">
    <w:name w:val="Bordered - Accent 3"/>
    <w:basedOn w:val="752"/>
    <w:next w:val="936"/>
    <w:link w:val="741"/>
    <w:uiPriority w:val="99"/>
    <w:qFormat/>
    <w:pPr>
      <w:spacing w:after="0" w:line="240" w:lineRule="auto"/>
    </w:pPr>
    <w:tblPr/>
  </w:style>
  <w:style w:type="table" w:styleId="937">
    <w:name w:val="Bordered - Accent 4"/>
    <w:basedOn w:val="752"/>
    <w:next w:val="937"/>
    <w:link w:val="741"/>
    <w:uiPriority w:val="99"/>
    <w:qFormat/>
    <w:pPr>
      <w:spacing w:after="0" w:line="240" w:lineRule="auto"/>
    </w:pPr>
    <w:tblPr/>
  </w:style>
  <w:style w:type="table" w:styleId="938">
    <w:name w:val="Bordered - Accent 5"/>
    <w:basedOn w:val="752"/>
    <w:next w:val="938"/>
    <w:link w:val="741"/>
    <w:uiPriority w:val="99"/>
    <w:qFormat/>
    <w:pPr>
      <w:spacing w:after="0" w:line="240" w:lineRule="auto"/>
    </w:pPr>
    <w:tblPr/>
  </w:style>
  <w:style w:type="table" w:styleId="939">
    <w:name w:val="Bordered - Accent 6"/>
    <w:basedOn w:val="752"/>
    <w:next w:val="939"/>
    <w:link w:val="741"/>
    <w:uiPriority w:val="99"/>
    <w:qFormat/>
    <w:pPr>
      <w:spacing w:after="0" w:line="240" w:lineRule="auto"/>
    </w:pPr>
    <w:tblPr/>
  </w:style>
  <w:style w:type="paragraph" w:styleId="940">
    <w:name w:val="TOC 标题1"/>
    <w:next w:val="940"/>
    <w:link w:val="741"/>
    <w:uiPriority w:val="39"/>
    <w:unhideWhenUsed/>
    <w:qFormat/>
    <w:rPr>
      <w:lang w:val="en-US" w:eastAsia="zh-CN" w:bidi="ar-SA"/>
    </w:rPr>
  </w:style>
  <w:style w:type="paragraph" w:styleId="941">
    <w:name w:val="普通正文"/>
    <w:basedOn w:val="741"/>
    <w:next w:val="941"/>
    <w:link w:val="741"/>
    <w:qFormat/>
    <w:pPr>
      <w:ind w:firstLine="480"/>
      <w:jc w:val="left"/>
      <w:spacing w:before="120" w:after="120" w:line="360" w:lineRule="auto"/>
    </w:pPr>
    <w:rPr>
      <w:rFonts w:ascii="Arial" w:hAnsi="Arial"/>
      <w:sz w:val="24"/>
      <w:szCs w:val="24"/>
    </w:rPr>
  </w:style>
  <w:style w:type="paragraph" w:styleId="942">
    <w:name w:val="Char"/>
    <w:basedOn w:val="741"/>
    <w:next w:val="942"/>
    <w:link w:val="741"/>
    <w:qFormat/>
    <w:pPr>
      <w:ind w:firstLine="200"/>
      <w:tabs>
        <w:tab w:val="left" w:pos="360" w:leader="none"/>
      </w:tabs>
    </w:pPr>
    <w:rPr>
      <w:rFonts w:ascii="Times New Roman" w:hAnsi="Times New Roman"/>
      <w:sz w:val="28"/>
      <w:szCs w:val="30"/>
    </w:rPr>
  </w:style>
  <w:style w:type="character" w:styleId="943">
    <w:name w:val="NormalCharacter1"/>
    <w:next w:val="943"/>
    <w:link w:val="741"/>
    <w:uiPriority w:val="99"/>
    <w:qFormat/>
    <w:rPr>
      <w:rFonts w:ascii="Calibri" w:hAnsi="Calibri" w:eastAsia="宋体" w:cs="Times New Roman"/>
      <w:sz w:val="21"/>
      <w:szCs w:val="22"/>
      <w:lang w:val="en-US" w:eastAsia="zh-CN" w:bidi="ar-SA"/>
    </w:rPr>
  </w:style>
  <w:style w:type="paragraph" w:styleId="944">
    <w:name w:val="p0"/>
    <w:basedOn w:val="741"/>
    <w:next w:val="944"/>
    <w:link w:val="741"/>
    <w:qFormat/>
    <w:pPr>
      <w:widowControl/>
    </w:pPr>
    <w:rPr>
      <w:rFonts w:ascii="Times New Roman" w:hAnsi="Times New Roman"/>
      <w:szCs w:val="21"/>
    </w:rPr>
  </w:style>
  <w:style w:type="paragraph" w:styleId="945">
    <w:name w:val="列出段落"/>
    <w:basedOn w:val="741"/>
    <w:next w:val="945"/>
    <w:link w:val="741"/>
    <w:uiPriority w:val="34"/>
    <w:qFormat/>
    <w:pPr>
      <w:ind w:firstLine="420"/>
    </w:pPr>
  </w:style>
  <w:style w:type="paragraph" w:styleId="946">
    <w:name w:val="Table Paragraph"/>
    <w:basedOn w:val="741"/>
    <w:next w:val="946"/>
    <w:link w:val="741"/>
    <w:uiPriority w:val="1"/>
    <w:qFormat/>
    <w:rPr>
      <w:rFonts w:ascii="Noto Sans CJK JP Regular" w:hAnsi="Noto Sans CJK JP Regular" w:eastAsia="Noto Sans CJK JP Regular" w:cs="Noto Sans CJK JP Regular"/>
      <w:lang w:eastAsia="en-US"/>
    </w:rPr>
  </w:style>
  <w:style w:type="paragraph" w:styleId="947">
    <w:name w:val="纯文本1"/>
    <w:basedOn w:val="741"/>
    <w:next w:val="947"/>
    <w:link w:val="741"/>
    <w:qFormat/>
    <w:rPr>
      <w:rFonts w:ascii="宋体" w:hAnsi="Courier New" w:eastAsia="楷体_GB2312"/>
      <w:sz w:val="28"/>
      <w:szCs w:val="20"/>
    </w:rPr>
  </w:style>
  <w:style w:type="character" w:styleId="948">
    <w:name w:val="font21"/>
    <w:basedOn w:val="751"/>
    <w:next w:val="948"/>
    <w:link w:val="741"/>
    <w:qFormat/>
    <w:rPr>
      <w:rFonts w:hint="eastAsia" w:ascii="宋体" w:hAnsi="宋体" w:eastAsia="宋体" w:cs="宋体"/>
      <w:color w:val="000000"/>
      <w:sz w:val="20"/>
      <w:szCs w:val="20"/>
      <w:u w:val="none"/>
    </w:rPr>
  </w:style>
  <w:style w:type="character" w:styleId="949">
    <w:name w:val="font181"/>
    <w:basedOn w:val="751"/>
    <w:next w:val="949"/>
    <w:link w:val="741"/>
    <w:qFormat/>
    <w:rPr>
      <w:rFonts w:hint="eastAsia" w:ascii="宋体" w:hAnsi="宋体" w:eastAsia="宋体" w:cs="宋体"/>
      <w:color w:val="ff0000"/>
      <w:sz w:val="20"/>
      <w:szCs w:val="20"/>
      <w:u w:val="none"/>
    </w:rPr>
  </w:style>
  <w:style w:type="character" w:styleId="950">
    <w:name w:val="font141"/>
    <w:basedOn w:val="751"/>
    <w:next w:val="950"/>
    <w:link w:val="741"/>
    <w:qFormat/>
    <w:rPr>
      <w:rFonts w:hint="eastAsia" w:ascii="宋体" w:hAnsi="宋体" w:eastAsia="宋体" w:cs="宋体"/>
      <w:color w:val="000000"/>
      <w:sz w:val="20"/>
      <w:szCs w:val="20"/>
      <w:u w:val="none"/>
    </w:rPr>
  </w:style>
  <w:style w:type="paragraph" w:styleId="951">
    <w:name w:val="纯文本11"/>
    <w:basedOn w:val="741"/>
    <w:next w:val="951"/>
    <w:link w:val="741"/>
    <w:uiPriority w:val="99"/>
    <w:qFormat/>
    <w:rPr>
      <w:rFonts w:ascii="宋体" w:hAnsi="Courier New"/>
      <w:sz w:val="20"/>
      <w:szCs w:val="21"/>
    </w:rPr>
  </w:style>
  <w:style w:type="paragraph" w:styleId="952">
    <w:name w:val="正文文本缩进 21"/>
    <w:basedOn w:val="741"/>
    <w:next w:val="952"/>
    <w:link w:val="741"/>
    <w:qFormat/>
    <w:pPr>
      <w:ind w:firstLine="562"/>
      <w:spacing w:line="480" w:lineRule="exact"/>
    </w:pPr>
    <w:rPr>
      <w:rFonts w:ascii="楷体_GB2312" w:eastAsia="楷体_GB2312"/>
      <w:b/>
      <w:bCs/>
      <w:sz w:val="28"/>
      <w:szCs w:val="24"/>
    </w:rPr>
  </w:style>
  <w:style w:type="paragraph" w:styleId="953">
    <w:name w:val="标题 21"/>
    <w:basedOn w:val="741"/>
    <w:next w:val="954"/>
    <w:link w:val="741"/>
    <w:qFormat/>
    <w:pPr>
      <w:jc w:val="center"/>
      <w:keepLines/>
      <w:keepNext/>
      <w:spacing w:before="260" w:after="260" w:line="416" w:lineRule="auto"/>
      <w:outlineLvl w:val="1"/>
    </w:pPr>
    <w:rPr>
      <w:rFonts w:ascii="Arial" w:hAnsi="Arial" w:eastAsia="幼圆" w:cs="Arial"/>
      <w:b/>
      <w:bCs/>
      <w:sz w:val="44"/>
      <w:szCs w:val="44"/>
    </w:rPr>
  </w:style>
  <w:style w:type="paragraph" w:styleId="954">
    <w:name w:val="正文缩进1"/>
    <w:basedOn w:val="741"/>
    <w:next w:val="954"/>
    <w:link w:val="741"/>
    <w:unhideWhenUsed/>
    <w:qFormat/>
    <w:pPr>
      <w:ind w:firstLine="420"/>
    </w:pPr>
  </w:style>
  <w:style w:type="paragraph" w:styleId="955">
    <w:name w:val="普通(网站)1"/>
    <w:basedOn w:val="741"/>
    <w:next w:val="955"/>
    <w:link w:val="741"/>
    <w:qFormat/>
    <w:rPr>
      <w:rFonts w:ascii="Times New Roman" w:hAnsi="Times New Roman"/>
      <w:sz w:val="24"/>
    </w:rPr>
  </w:style>
  <w:style w:type="character" w:styleId="956">
    <w:name w:val="要点1"/>
    <w:next w:val="956"/>
    <w:link w:val="741"/>
    <w:qFormat/>
    <w:rPr>
      <w:b/>
    </w:rPr>
  </w:style>
  <w:style w:type="paragraph" w:styleId="957">
    <w:name w:val="正文文本11"/>
    <w:basedOn w:val="741"/>
    <w:next w:val="957"/>
    <w:link w:val="741"/>
    <w:qFormat/>
    <w:rPr>
      <w:rFonts w:ascii="楷体_GB2312" w:hAnsi="Arial" w:eastAsia="楷体_GB2312"/>
      <w:sz w:val="28"/>
      <w:szCs w:val="28"/>
    </w:rPr>
  </w:style>
  <w:style w:type="paragraph" w:styleId="958">
    <w:name w:val="正文_6_0_0"/>
    <w:next w:val="958"/>
    <w:link w:val="741"/>
    <w:qFormat/>
    <w:pPr>
      <w:jc w:val="both"/>
      <w:widowControl w:val="off"/>
    </w:pPr>
    <w:rPr>
      <w:sz w:val="21"/>
      <w:szCs w:val="22"/>
      <w:lang w:val="en-US" w:eastAsia="zh-CN" w:bidi="ar-SA"/>
    </w:rPr>
  </w:style>
  <w:style w:type="paragraph" w:styleId="959">
    <w:name w:val="正文首行缩进11"/>
    <w:basedOn w:val="957"/>
    <w:next w:val="959"/>
    <w:link w:val="741"/>
    <w:unhideWhenUsed/>
    <w:qFormat/>
    <w:pPr>
      <w:ind w:firstLine="420"/>
      <w:jc w:val="both"/>
      <w:spacing w:after="120"/>
      <w:widowControl w:val="off"/>
    </w:pPr>
    <w:rPr>
      <w:rFonts w:ascii="Times New Roman" w:hAnsi="Times New Roman" w:eastAsia="宋体" w:cs="Times New Roman"/>
      <w:sz w:val="21"/>
      <w:szCs w:val="21"/>
      <w:lang w:val="en-US" w:eastAsia="zh-CN" w:bidi="ar-SA"/>
    </w:rPr>
  </w:style>
  <w:style w:type="paragraph" w:styleId="960">
    <w:name w:val="正文111"/>
    <w:next w:val="961"/>
    <w:link w:val="741"/>
    <w:qFormat/>
    <w:pPr>
      <w:jc w:val="both"/>
      <w:widowControl w:val="off"/>
    </w:pPr>
    <w:rPr>
      <w:sz w:val="21"/>
      <w:szCs w:val="24"/>
      <w:lang w:val="en-US" w:eastAsia="zh-CN" w:bidi="ar-SA"/>
    </w:rPr>
  </w:style>
  <w:style w:type="paragraph" w:styleId="961">
    <w:name w:val="标题 41"/>
    <w:basedOn w:val="962"/>
    <w:next w:val="960"/>
    <w:link w:val="741"/>
    <w:qFormat/>
    <w:pPr>
      <w:keepLines/>
      <w:keepNext/>
      <w:spacing w:before="280" w:after="290" w:line="376" w:lineRule="auto"/>
      <w:outlineLvl w:val="3"/>
    </w:pPr>
    <w:rPr>
      <w:rFonts w:ascii="Arial" w:hAnsi="Arial" w:eastAsia="黑体"/>
      <w:b/>
      <w:bCs/>
      <w:sz w:val="28"/>
      <w:szCs w:val="28"/>
    </w:rPr>
  </w:style>
  <w:style w:type="paragraph" w:styleId="962">
    <w:name w:val="正文12"/>
    <w:next w:val="963"/>
    <w:link w:val="741"/>
    <w:qFormat/>
    <w:pPr>
      <w:ind w:firstLine="723"/>
      <w:jc w:val="both"/>
      <w:spacing w:line="360" w:lineRule="auto"/>
      <w:widowControl w:val="off"/>
    </w:pPr>
    <w:rPr>
      <w:sz w:val="24"/>
      <w:szCs w:val="24"/>
      <w:lang w:val="en-US" w:eastAsia="zh-CN" w:bidi="ar-SA"/>
    </w:rPr>
  </w:style>
  <w:style w:type="paragraph" w:styleId="963">
    <w:name w:val="脚注文本1"/>
    <w:basedOn w:val="799"/>
    <w:next w:val="964"/>
    <w:link w:val="741"/>
    <w:qFormat/>
    <w:rPr>
      <w:rFonts w:ascii="宋体" w:eastAsia="Times New Roman"/>
      <w:sz w:val="18"/>
      <w:szCs w:val="18"/>
    </w:rPr>
  </w:style>
  <w:style w:type="paragraph" w:styleId="964">
    <w:name w:val="索引 51"/>
    <w:basedOn w:val="965"/>
    <w:next w:val="799"/>
    <w:link w:val="741"/>
    <w:qFormat/>
    <w:pPr>
      <w:ind w:left="798"/>
      <w:jc w:val="left"/>
    </w:pPr>
    <w:rPr>
      <w:rFonts w:ascii="Calibri" w:hAnsi="Calibri"/>
    </w:rPr>
  </w:style>
  <w:style w:type="paragraph" w:styleId="965">
    <w:name w:val="正文11"/>
    <w:next w:val="741"/>
    <w:link w:val="741"/>
    <w:qFormat/>
    <w:pPr>
      <w:jc w:val="both"/>
      <w:widowControl w:val="off"/>
    </w:pPr>
    <w:rPr>
      <w:sz w:val="21"/>
      <w:szCs w:val="24"/>
      <w:lang w:val="en-US" w:eastAsia="zh-CN" w:bidi="ar-SA"/>
    </w:rPr>
  </w:style>
  <w:style w:type="character" w:styleId="966">
    <w:name w:val="NormalCharacter1"/>
    <w:next w:val="966"/>
    <w:link w:val="741"/>
    <w:qFormat/>
  </w:style>
  <w:style w:type="paragraph" w:styleId="967">
    <w:name w:val="普通(网站)11"/>
    <w:basedOn w:val="741"/>
    <w:next w:val="967"/>
    <w:link w:val="741"/>
    <w:qFormat/>
    <w:rPr>
      <w:sz w:val="24"/>
    </w:rPr>
  </w:style>
  <w:style w:type="character" w:styleId="968" w:default="1">
    <w:name w:val="Default Paragraph Font"/>
    <w:uiPriority w:val="1"/>
    <w:semiHidden/>
    <w:unhideWhenUsed/>
  </w:style>
  <w:style w:type="numbering" w:styleId="969" w:default="1">
    <w:name w:val="No List"/>
    <w:uiPriority w:val="99"/>
    <w:semiHidden/>
    <w:unhideWhenUsed/>
  </w:style>
  <w:style w:type="table" w:styleId="9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4</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秦扬</cp:lastModifiedBy>
  <cp:revision>5</cp:revision>
  <dcterms:created xsi:type="dcterms:W3CDTF">2025-08-14T03:29:00Z</dcterms:created>
  <dcterms:modified xsi:type="dcterms:W3CDTF">2025-12-02T04:00:37Z</dcterms:modified>
</cp:coreProperties>
</file>